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61F5F" w14:textId="75F09F8C" w:rsidR="009907E1" w:rsidRPr="004D07B4" w:rsidRDefault="0094080A" w:rsidP="004D07B4">
      <w:pPr>
        <w:pStyle w:val="Annexetitre"/>
        <w:jc w:val="both"/>
        <w:rPr>
          <w:b w:val="0"/>
          <w:u w:val="none"/>
        </w:rPr>
      </w:pPr>
      <w:bookmarkStart w:id="0" w:name="_Toc371412374"/>
      <w:r w:rsidRPr="0094080A">
        <w:rPr>
          <w:b w:val="0"/>
          <w:u w:val="none"/>
        </w:rPr>
        <w:t>Uredba Komisije (EU) br. 651/2014 od 17. lipnja 2014. o ocjenjivanju određenih kategorija potpora spojivima s unutarnjim tržištem u primjeni članaka 107. i 108. Ugovora (SL L 187, 26.6.2014., str. 1.</w:t>
      </w:r>
      <w:r w:rsidR="008F28B4">
        <w:rPr>
          <w:b w:val="0"/>
          <w:u w:val="none"/>
        </w:rPr>
        <w:t>)</w:t>
      </w:r>
      <w:bookmarkStart w:id="1" w:name="_GoBack"/>
      <w:bookmarkEnd w:id="1"/>
      <w:r w:rsidR="004D07B4" w:rsidRPr="004D07B4">
        <w:rPr>
          <w:b w:val="0"/>
          <w:u w:val="none"/>
        </w:rPr>
        <w:t xml:space="preserve"> i njene </w:t>
      </w:r>
      <w:r w:rsidR="00960709">
        <w:rPr>
          <w:b w:val="0"/>
          <w:u w:val="none"/>
        </w:rPr>
        <w:t xml:space="preserve">izmjene i </w:t>
      </w:r>
      <w:r w:rsidR="004D07B4" w:rsidRPr="004D07B4">
        <w:rPr>
          <w:b w:val="0"/>
          <w:u w:val="none"/>
        </w:rPr>
        <w:t xml:space="preserve">dopune sadržane u Uredbi Komisije </w:t>
      </w:r>
      <w:r w:rsidR="00992579">
        <w:rPr>
          <w:b w:val="0"/>
          <w:u w:val="none"/>
        </w:rPr>
        <w:t>(EU)</w:t>
      </w:r>
      <w:r w:rsidR="004D07B4" w:rsidRPr="004D07B4">
        <w:rPr>
          <w:b w:val="0"/>
          <w:u w:val="none"/>
        </w:rPr>
        <w:t xml:space="preserve"> 2017/1087</w:t>
      </w:r>
      <w:r w:rsidR="004D07B4">
        <w:rPr>
          <w:b w:val="0"/>
          <w:u w:val="none"/>
        </w:rPr>
        <w:t>,</w:t>
      </w:r>
      <w:r w:rsidR="004D07B4" w:rsidRPr="004D07B4">
        <w:rPr>
          <w:b w:val="0"/>
          <w:u w:val="none"/>
        </w:rPr>
        <w:t xml:space="preserve"> Uredbi </w:t>
      </w:r>
      <w:r w:rsidR="004D07B4" w:rsidRPr="004D07B4">
        <w:rPr>
          <w:b w:val="0"/>
          <w:u w:val="none"/>
        </w:rPr>
        <w:t xml:space="preserve">Komisije </w:t>
      </w:r>
      <w:r w:rsidR="00992579">
        <w:rPr>
          <w:b w:val="0"/>
          <w:u w:val="none"/>
        </w:rPr>
        <w:t>(EU)</w:t>
      </w:r>
      <w:r w:rsidR="004D07B4" w:rsidRPr="004D07B4">
        <w:rPr>
          <w:b w:val="0"/>
          <w:u w:val="none"/>
        </w:rPr>
        <w:t xml:space="preserve"> </w:t>
      </w:r>
      <w:r w:rsidR="004D07B4" w:rsidRPr="004D07B4">
        <w:rPr>
          <w:b w:val="0"/>
          <w:u w:val="none"/>
        </w:rPr>
        <w:t>2021/1237</w:t>
      </w:r>
      <w:r w:rsidR="004D07B4">
        <w:rPr>
          <w:b w:val="0"/>
          <w:u w:val="none"/>
        </w:rPr>
        <w:t xml:space="preserve"> i</w:t>
      </w:r>
      <w:r w:rsidR="004D07B4" w:rsidRPr="004D07B4">
        <w:rPr>
          <w:b w:val="0"/>
          <w:u w:val="none"/>
        </w:rPr>
        <w:t xml:space="preserve"> </w:t>
      </w:r>
      <w:r w:rsidR="004D07B4" w:rsidRPr="004D07B4">
        <w:rPr>
          <w:b w:val="0"/>
          <w:u w:val="none"/>
        </w:rPr>
        <w:t xml:space="preserve">Uredbi Komisije </w:t>
      </w:r>
      <w:r w:rsidR="00992579">
        <w:rPr>
          <w:b w:val="0"/>
          <w:u w:val="none"/>
        </w:rPr>
        <w:t>(EU)</w:t>
      </w:r>
      <w:r w:rsidR="004D07B4" w:rsidRPr="004D07B4">
        <w:rPr>
          <w:b w:val="0"/>
          <w:u w:val="none"/>
        </w:rPr>
        <w:t xml:space="preserve"> 202</w:t>
      </w:r>
      <w:r w:rsidR="00960709">
        <w:rPr>
          <w:b w:val="0"/>
          <w:u w:val="none"/>
        </w:rPr>
        <w:t>3</w:t>
      </w:r>
      <w:r w:rsidR="004D07B4" w:rsidRPr="004D07B4">
        <w:rPr>
          <w:b w:val="0"/>
          <w:u w:val="none"/>
        </w:rPr>
        <w:t>/13</w:t>
      </w:r>
      <w:r w:rsidR="00960709">
        <w:rPr>
          <w:b w:val="0"/>
          <w:u w:val="none"/>
        </w:rPr>
        <w:t>15</w:t>
      </w:r>
    </w:p>
    <w:p w14:paraId="081E2A00" w14:textId="77777777" w:rsidR="009907E1" w:rsidRPr="006802F3" w:rsidRDefault="009907E1" w:rsidP="009907E1">
      <w:pPr>
        <w:rPr>
          <w:rFonts w:ascii="Times New Roman" w:hAnsi="Times New Roman"/>
        </w:rPr>
      </w:pPr>
    </w:p>
    <w:p w14:paraId="083DF51B" w14:textId="77777777" w:rsidR="006802F3" w:rsidRDefault="006802F3" w:rsidP="006802F3">
      <w:pPr>
        <w:pStyle w:val="Annexetitre"/>
        <w:spacing w:after="480"/>
      </w:pPr>
      <w:bookmarkStart w:id="2" w:name="_Toc371412381"/>
      <w:bookmarkEnd w:id="0"/>
      <w:r>
        <w:t>PRILOG </w:t>
      </w:r>
      <w:bookmarkStart w:id="3" w:name="AnnexIII"/>
      <w:r>
        <w:t>II.</w:t>
      </w:r>
      <w:bookmarkEnd w:id="3"/>
    </w:p>
    <w:p w14:paraId="4BF0BBA3" w14:textId="77777777" w:rsidR="006802F3" w:rsidRPr="004F0329" w:rsidRDefault="006802F3" w:rsidP="006802F3">
      <w:pPr>
        <w:pStyle w:val="Annexetitre"/>
        <w:spacing w:after="480"/>
      </w:pPr>
      <w:r>
        <w:br/>
      </w:r>
      <w:r w:rsidRPr="004F0329">
        <w:t>Informacije o državnim potporama koje se izuzimaju na temelju uvjeta ove Uredbe</w:t>
      </w:r>
      <w:bookmarkEnd w:id="2"/>
    </w:p>
    <w:p w14:paraId="6D5B4A35" w14:textId="77777777" w:rsidR="006802F3" w:rsidRPr="004F0329" w:rsidRDefault="006802F3" w:rsidP="006802F3">
      <w:pPr>
        <w:spacing w:after="360"/>
        <w:jc w:val="center"/>
        <w:rPr>
          <w:rFonts w:ascii="Times New Roman" w:hAnsi="Times New Roman"/>
          <w:b/>
          <w:bCs/>
          <w:smallCaps/>
          <w:sz w:val="24"/>
          <w:szCs w:val="24"/>
        </w:rPr>
      </w:pPr>
      <w:r w:rsidRPr="004F0329">
        <w:rPr>
          <w:rFonts w:ascii="Times New Roman" w:hAnsi="Times New Roman"/>
          <w:b/>
          <w:smallCaps/>
          <w:sz w:val="24"/>
          <w:szCs w:val="24"/>
        </w:rPr>
        <w:t>Dio I.</w:t>
      </w:r>
    </w:p>
    <w:p w14:paraId="623AC5F8" w14:textId="77777777" w:rsidR="006802F3" w:rsidRPr="004F0329" w:rsidRDefault="006802F3" w:rsidP="006802F3">
      <w:pPr>
        <w:spacing w:after="360"/>
        <w:jc w:val="center"/>
        <w:rPr>
          <w:rFonts w:ascii="Times New Roman" w:hAnsi="Times New Roman"/>
          <w:b/>
          <w:bCs/>
          <w:smallCaps/>
          <w:sz w:val="24"/>
          <w:szCs w:val="24"/>
        </w:rPr>
      </w:pPr>
      <w:r w:rsidRPr="004F0329">
        <w:rPr>
          <w:rFonts w:ascii="Times New Roman" w:hAnsi="Times New Roman"/>
          <w:b/>
          <w:sz w:val="24"/>
          <w:szCs w:val="24"/>
        </w:rPr>
        <w:t>koji se dostavlja računalnom aplikacijom Komisije kako je utvrđeno u članku 11.</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802"/>
        <w:gridCol w:w="142"/>
        <w:gridCol w:w="1881"/>
        <w:gridCol w:w="1842"/>
      </w:tblGrid>
      <w:tr w:rsidR="006802F3" w:rsidRPr="006802F3" w14:paraId="1893CA48" w14:textId="77777777" w:rsidTr="00317E7D">
        <w:tc>
          <w:tcPr>
            <w:tcW w:w="2126" w:type="dxa"/>
          </w:tcPr>
          <w:p w14:paraId="03C99889"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Referenca potpore</w:t>
            </w:r>
          </w:p>
        </w:tc>
        <w:tc>
          <w:tcPr>
            <w:tcW w:w="6667" w:type="dxa"/>
            <w:gridSpan w:val="4"/>
          </w:tcPr>
          <w:p w14:paraId="67ED6049" w14:textId="77777777" w:rsidR="006802F3" w:rsidRPr="006802F3" w:rsidRDefault="006802F3" w:rsidP="00C6449A">
            <w:pPr>
              <w:spacing w:after="0"/>
              <w:rPr>
                <w:rFonts w:ascii="Times New Roman" w:hAnsi="Times New Roman"/>
              </w:rPr>
            </w:pPr>
            <w:r>
              <w:rPr>
                <w:rFonts w:ascii="Times New Roman" w:hAnsi="Times New Roman"/>
                <w:i/>
              </w:rPr>
              <w:t>(dopunjuje Komisija)</w:t>
            </w:r>
          </w:p>
        </w:tc>
      </w:tr>
      <w:tr w:rsidR="006802F3" w:rsidRPr="006802F3" w14:paraId="64F8E5D9" w14:textId="77777777" w:rsidTr="00317E7D">
        <w:tc>
          <w:tcPr>
            <w:tcW w:w="2126" w:type="dxa"/>
          </w:tcPr>
          <w:p w14:paraId="78C3E5FF"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Država članica</w:t>
            </w:r>
          </w:p>
        </w:tc>
        <w:tc>
          <w:tcPr>
            <w:tcW w:w="6667" w:type="dxa"/>
            <w:gridSpan w:val="4"/>
          </w:tcPr>
          <w:p w14:paraId="0E5B7089" w14:textId="77777777"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14:paraId="32497D3C" w14:textId="77777777" w:rsidTr="00317E7D">
        <w:tc>
          <w:tcPr>
            <w:tcW w:w="2126" w:type="dxa"/>
          </w:tcPr>
          <w:p w14:paraId="3B96AADF"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Referentni broj države članice</w:t>
            </w:r>
          </w:p>
        </w:tc>
        <w:tc>
          <w:tcPr>
            <w:tcW w:w="6667" w:type="dxa"/>
            <w:gridSpan w:val="4"/>
          </w:tcPr>
          <w:p w14:paraId="1E25FC37" w14:textId="77777777"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14:paraId="7BB1A960" w14:textId="77777777" w:rsidTr="00317E7D">
        <w:trPr>
          <w:trHeight w:val="278"/>
        </w:trPr>
        <w:tc>
          <w:tcPr>
            <w:tcW w:w="2126" w:type="dxa"/>
          </w:tcPr>
          <w:p w14:paraId="48562390"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Regija</w:t>
            </w:r>
          </w:p>
        </w:tc>
        <w:tc>
          <w:tcPr>
            <w:tcW w:w="2802" w:type="dxa"/>
          </w:tcPr>
          <w:p w14:paraId="2B9F3111" w14:textId="77777777" w:rsidR="006802F3" w:rsidRDefault="006802F3" w:rsidP="00C6449A">
            <w:pPr>
              <w:spacing w:after="0"/>
              <w:rPr>
                <w:rFonts w:ascii="Times New Roman" w:hAnsi="Times New Roman"/>
                <w:b/>
                <w:i/>
              </w:rPr>
            </w:pPr>
            <w:r>
              <w:rPr>
                <w:rFonts w:ascii="Times New Roman" w:hAnsi="Times New Roman"/>
                <w:b/>
              </w:rPr>
              <w:t>Ime regije (</w:t>
            </w:r>
            <w:r>
              <w:rPr>
                <w:rFonts w:ascii="Times New Roman" w:hAnsi="Times New Roman"/>
                <w:b/>
                <w:i/>
              </w:rPr>
              <w:t>NUTS</w:t>
            </w:r>
            <w:r>
              <w:rPr>
                <w:rStyle w:val="Referencafusnote"/>
                <w:rFonts w:ascii="Times New Roman" w:hAnsi="Times New Roman"/>
                <w:b/>
                <w:i/>
              </w:rPr>
              <w:footnoteReference w:id="1"/>
            </w:r>
            <w:r>
              <w:rPr>
                <w:rFonts w:ascii="Times New Roman" w:hAnsi="Times New Roman"/>
                <w:b/>
                <w:i/>
              </w:rPr>
              <w:t xml:space="preserve">) </w:t>
            </w:r>
          </w:p>
          <w:p w14:paraId="152A2648" w14:textId="77777777" w:rsidR="00346533" w:rsidRDefault="00346533" w:rsidP="00C6449A">
            <w:pPr>
              <w:spacing w:after="0"/>
              <w:rPr>
                <w:rFonts w:ascii="Times New Roman" w:hAnsi="Times New Roman"/>
              </w:rPr>
            </w:pPr>
            <w:r>
              <w:rPr>
                <w:rFonts w:ascii="Times New Roman" w:hAnsi="Times New Roman"/>
              </w:rPr>
              <w:t>…………………………</w:t>
            </w:r>
          </w:p>
          <w:p w14:paraId="0D0B481D" w14:textId="77777777" w:rsidR="00346533" w:rsidRPr="00317E7D" w:rsidRDefault="00346533" w:rsidP="00C6449A">
            <w:pPr>
              <w:spacing w:after="0"/>
              <w:rPr>
                <w:rFonts w:ascii="Times New Roman" w:hAnsi="Times New Roman"/>
              </w:rPr>
            </w:pPr>
            <w:r>
              <w:rPr>
                <w:rFonts w:ascii="Times New Roman" w:hAnsi="Times New Roman"/>
              </w:rPr>
              <w:t>…………………………</w:t>
            </w:r>
          </w:p>
        </w:tc>
        <w:tc>
          <w:tcPr>
            <w:tcW w:w="3865" w:type="dxa"/>
            <w:gridSpan w:val="3"/>
          </w:tcPr>
          <w:p w14:paraId="04DA3D9B" w14:textId="77777777" w:rsidR="006802F3" w:rsidRPr="006802F3" w:rsidRDefault="006802F3" w:rsidP="00C6449A">
            <w:pPr>
              <w:spacing w:after="0"/>
              <w:rPr>
                <w:rFonts w:ascii="Times New Roman" w:hAnsi="Times New Roman"/>
                <w:b/>
              </w:rPr>
            </w:pPr>
            <w:r>
              <w:rPr>
                <w:rFonts w:ascii="Times New Roman" w:hAnsi="Times New Roman"/>
                <w:b/>
              </w:rPr>
              <w:t>Status regionalne potpore</w:t>
            </w:r>
            <w:r>
              <w:rPr>
                <w:rStyle w:val="Referencafusnote"/>
                <w:rFonts w:ascii="Times New Roman" w:hAnsi="Times New Roman"/>
                <w:b/>
              </w:rPr>
              <w:footnoteReference w:id="2"/>
            </w:r>
          </w:p>
          <w:p w14:paraId="437A1835" w14:textId="77777777" w:rsidR="00346533" w:rsidRDefault="00346533" w:rsidP="00C6449A">
            <w:pPr>
              <w:spacing w:after="0"/>
              <w:rPr>
                <w:rFonts w:ascii="Times New Roman" w:hAnsi="Times New Roman"/>
                <w:b/>
              </w:rPr>
            </w:pPr>
          </w:p>
          <w:p w14:paraId="3DFF8C3C" w14:textId="77777777" w:rsidR="00346533" w:rsidRDefault="00346533" w:rsidP="00C6449A">
            <w:pPr>
              <w:spacing w:after="0"/>
              <w:rPr>
                <w:rFonts w:ascii="Times New Roman" w:hAnsi="Times New Roman"/>
              </w:rPr>
            </w:pPr>
            <w:r>
              <w:rPr>
                <w:rFonts w:ascii="Times New Roman" w:hAnsi="Times New Roman"/>
              </w:rPr>
              <w:t>………………………………………..</w:t>
            </w:r>
          </w:p>
          <w:p w14:paraId="0FB3B19E" w14:textId="77777777" w:rsidR="00346533" w:rsidRPr="00317E7D" w:rsidRDefault="00346533" w:rsidP="00C6449A">
            <w:pPr>
              <w:spacing w:after="0"/>
              <w:rPr>
                <w:rFonts w:ascii="Times New Roman" w:hAnsi="Times New Roman"/>
              </w:rPr>
            </w:pPr>
            <w:r>
              <w:rPr>
                <w:rFonts w:ascii="Times New Roman" w:hAnsi="Times New Roman"/>
              </w:rPr>
              <w:t>………………………………………..</w:t>
            </w:r>
          </w:p>
        </w:tc>
      </w:tr>
      <w:tr w:rsidR="006802F3" w:rsidRPr="006802F3" w14:paraId="1432BC38" w14:textId="77777777" w:rsidTr="00317E7D">
        <w:trPr>
          <w:trHeight w:val="338"/>
        </w:trPr>
        <w:tc>
          <w:tcPr>
            <w:tcW w:w="2126" w:type="dxa"/>
            <w:vMerge w:val="restart"/>
          </w:tcPr>
          <w:p w14:paraId="69BBC3CE"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Davatelj potpore</w:t>
            </w:r>
          </w:p>
        </w:tc>
        <w:tc>
          <w:tcPr>
            <w:tcW w:w="2802" w:type="dxa"/>
          </w:tcPr>
          <w:p w14:paraId="6353A075" w14:textId="77777777" w:rsidR="006802F3" w:rsidRPr="006802F3" w:rsidRDefault="006802F3" w:rsidP="00C6449A">
            <w:pPr>
              <w:spacing w:after="0"/>
              <w:rPr>
                <w:rFonts w:ascii="Times New Roman" w:hAnsi="Times New Roman"/>
                <w:b/>
              </w:rPr>
            </w:pPr>
            <w:r>
              <w:rPr>
                <w:rFonts w:ascii="Times New Roman" w:hAnsi="Times New Roman"/>
                <w:b/>
              </w:rPr>
              <w:t xml:space="preserve">Naziv </w:t>
            </w:r>
          </w:p>
        </w:tc>
        <w:tc>
          <w:tcPr>
            <w:tcW w:w="3865" w:type="dxa"/>
            <w:gridSpan w:val="3"/>
          </w:tcPr>
          <w:p w14:paraId="1A3F948E" w14:textId="77777777"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14:paraId="689FDDD6" w14:textId="77777777" w:rsidTr="00317E7D">
        <w:trPr>
          <w:trHeight w:val="337"/>
        </w:trPr>
        <w:tc>
          <w:tcPr>
            <w:tcW w:w="2126" w:type="dxa"/>
            <w:vMerge/>
          </w:tcPr>
          <w:p w14:paraId="796B5F65" w14:textId="77777777" w:rsidR="006802F3" w:rsidRPr="004F0329" w:rsidRDefault="006802F3" w:rsidP="00C6449A">
            <w:pPr>
              <w:spacing w:after="0"/>
              <w:rPr>
                <w:rFonts w:ascii="Times New Roman" w:hAnsi="Times New Roman"/>
                <w:b/>
                <w:sz w:val="24"/>
                <w:szCs w:val="24"/>
              </w:rPr>
            </w:pPr>
          </w:p>
        </w:tc>
        <w:tc>
          <w:tcPr>
            <w:tcW w:w="2802" w:type="dxa"/>
          </w:tcPr>
          <w:p w14:paraId="2737A898" w14:textId="77777777" w:rsidR="006802F3" w:rsidRPr="006802F3" w:rsidRDefault="006802F3" w:rsidP="00C6449A">
            <w:pPr>
              <w:spacing w:after="0"/>
              <w:rPr>
                <w:rFonts w:ascii="Times New Roman" w:hAnsi="Times New Roman"/>
                <w:b/>
              </w:rPr>
            </w:pPr>
            <w:r>
              <w:rPr>
                <w:rFonts w:ascii="Times New Roman" w:hAnsi="Times New Roman"/>
                <w:b/>
              </w:rPr>
              <w:t>Poštanska adresa</w:t>
            </w:r>
          </w:p>
          <w:p w14:paraId="1D4B8F49" w14:textId="77777777" w:rsidR="006802F3" w:rsidRPr="006802F3" w:rsidRDefault="006802F3" w:rsidP="00C6449A">
            <w:pPr>
              <w:spacing w:after="0"/>
              <w:rPr>
                <w:rFonts w:ascii="Times New Roman" w:hAnsi="Times New Roman"/>
                <w:b/>
              </w:rPr>
            </w:pPr>
          </w:p>
          <w:p w14:paraId="76C4A29B" w14:textId="77777777" w:rsidR="006802F3" w:rsidRPr="006802F3" w:rsidRDefault="006802F3" w:rsidP="00C6449A">
            <w:pPr>
              <w:spacing w:after="0"/>
              <w:rPr>
                <w:rFonts w:ascii="Times New Roman" w:hAnsi="Times New Roman"/>
                <w:b/>
              </w:rPr>
            </w:pPr>
            <w:r>
              <w:rPr>
                <w:rFonts w:ascii="Times New Roman" w:hAnsi="Times New Roman"/>
                <w:b/>
                <w:i/>
              </w:rPr>
              <w:t>Web</w:t>
            </w:r>
            <w:r>
              <w:rPr>
                <w:rFonts w:ascii="Times New Roman" w:hAnsi="Times New Roman"/>
                <w:b/>
              </w:rPr>
              <w:t>-mjesto</w:t>
            </w:r>
          </w:p>
        </w:tc>
        <w:tc>
          <w:tcPr>
            <w:tcW w:w="3865" w:type="dxa"/>
            <w:gridSpan w:val="3"/>
          </w:tcPr>
          <w:p w14:paraId="709F1243" w14:textId="77777777" w:rsidR="006802F3" w:rsidRDefault="00346533" w:rsidP="00C6449A">
            <w:pPr>
              <w:spacing w:after="0"/>
              <w:rPr>
                <w:rFonts w:ascii="Times New Roman" w:hAnsi="Times New Roman"/>
              </w:rPr>
            </w:pPr>
            <w:r>
              <w:rPr>
                <w:rFonts w:ascii="Times New Roman" w:hAnsi="Times New Roman"/>
              </w:rPr>
              <w:t>…………………………………………</w:t>
            </w:r>
          </w:p>
          <w:p w14:paraId="218C7B38" w14:textId="77777777" w:rsidR="00346533" w:rsidRDefault="00346533" w:rsidP="00C6449A">
            <w:pPr>
              <w:spacing w:after="0"/>
              <w:rPr>
                <w:rFonts w:ascii="Times New Roman" w:hAnsi="Times New Roman"/>
              </w:rPr>
            </w:pPr>
          </w:p>
          <w:p w14:paraId="255FD5F5" w14:textId="77777777" w:rsidR="00346533" w:rsidRPr="006802F3" w:rsidRDefault="00346533" w:rsidP="00C6449A">
            <w:pPr>
              <w:spacing w:after="0"/>
              <w:rPr>
                <w:rFonts w:ascii="Times New Roman" w:hAnsi="Times New Roman"/>
              </w:rPr>
            </w:pPr>
            <w:r>
              <w:rPr>
                <w:rFonts w:ascii="Times New Roman" w:hAnsi="Times New Roman"/>
              </w:rPr>
              <w:t>…………………………………………</w:t>
            </w:r>
          </w:p>
        </w:tc>
      </w:tr>
      <w:tr w:rsidR="006802F3" w:rsidRPr="006802F3" w14:paraId="5AAE0EAE" w14:textId="77777777" w:rsidTr="00317E7D">
        <w:tc>
          <w:tcPr>
            <w:tcW w:w="2126" w:type="dxa"/>
            <w:tcBorders>
              <w:bottom w:val="dotted" w:sz="4" w:space="0" w:color="auto"/>
            </w:tcBorders>
          </w:tcPr>
          <w:p w14:paraId="580E3FAB"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 xml:space="preserve">Naslov mjere potpore </w:t>
            </w:r>
          </w:p>
        </w:tc>
        <w:tc>
          <w:tcPr>
            <w:tcW w:w="6667" w:type="dxa"/>
            <w:gridSpan w:val="4"/>
            <w:tcBorders>
              <w:bottom w:val="dotted" w:sz="4" w:space="0" w:color="auto"/>
            </w:tcBorders>
          </w:tcPr>
          <w:p w14:paraId="35AD76A9" w14:textId="77777777"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14:paraId="3E84BD1A" w14:textId="77777777" w:rsidTr="00317E7D">
        <w:trPr>
          <w:trHeight w:val="1140"/>
        </w:trPr>
        <w:tc>
          <w:tcPr>
            <w:tcW w:w="2126" w:type="dxa"/>
            <w:tcBorders>
              <w:top w:val="dotted" w:sz="4" w:space="0" w:color="auto"/>
              <w:bottom w:val="dotted" w:sz="4" w:space="0" w:color="auto"/>
            </w:tcBorders>
          </w:tcPr>
          <w:p w14:paraId="62760885"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Nacionalna pravna osnova (upućivanje na mjerodavnu nacionalnu službenu publikaciju)</w:t>
            </w:r>
          </w:p>
        </w:tc>
        <w:tc>
          <w:tcPr>
            <w:tcW w:w="6667" w:type="dxa"/>
            <w:gridSpan w:val="4"/>
            <w:tcBorders>
              <w:top w:val="dotted" w:sz="4" w:space="0" w:color="auto"/>
              <w:bottom w:val="dotted" w:sz="4" w:space="0" w:color="auto"/>
            </w:tcBorders>
          </w:tcPr>
          <w:p w14:paraId="6531B1F4" w14:textId="77777777" w:rsidR="006802F3" w:rsidRPr="006802F3" w:rsidRDefault="00346533" w:rsidP="00C6449A">
            <w:pPr>
              <w:spacing w:after="0"/>
              <w:rPr>
                <w:rFonts w:ascii="Times New Roman" w:hAnsi="Times New Roman"/>
              </w:rPr>
            </w:pPr>
            <w:r>
              <w:rPr>
                <w:rFonts w:ascii="Times New Roman" w:hAnsi="Times New Roman"/>
              </w:rPr>
              <w:br/>
              <w:t>………………………………………………………………………….</w:t>
            </w:r>
            <w:r>
              <w:rPr>
                <w:rFonts w:ascii="Times New Roman" w:hAnsi="Times New Roman"/>
              </w:rPr>
              <w:br/>
              <w:t>………………………………………………………………………….</w:t>
            </w:r>
            <w:r>
              <w:rPr>
                <w:rFonts w:ascii="Times New Roman" w:hAnsi="Times New Roman"/>
              </w:rPr>
              <w:br/>
              <w:t>………………………………………………………………………….</w:t>
            </w:r>
          </w:p>
        </w:tc>
      </w:tr>
      <w:tr w:rsidR="006802F3" w:rsidRPr="006802F3" w14:paraId="33D96836" w14:textId="77777777" w:rsidTr="00317E7D">
        <w:trPr>
          <w:trHeight w:val="803"/>
        </w:trPr>
        <w:tc>
          <w:tcPr>
            <w:tcW w:w="2126" w:type="dxa"/>
            <w:tcBorders>
              <w:top w:val="dotted" w:sz="4" w:space="0" w:color="auto"/>
            </w:tcBorders>
          </w:tcPr>
          <w:p w14:paraId="055751A9"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i/>
                <w:sz w:val="24"/>
                <w:szCs w:val="24"/>
              </w:rPr>
              <w:lastRenderedPageBreak/>
              <w:t>Web</w:t>
            </w:r>
            <w:r w:rsidRPr="004F0329">
              <w:rPr>
                <w:rFonts w:ascii="Times New Roman" w:hAnsi="Times New Roman"/>
                <w:b/>
                <w:sz w:val="24"/>
                <w:szCs w:val="24"/>
              </w:rPr>
              <w:t xml:space="preserve">-poveznica na cjeloviti tekst mjere potpore </w:t>
            </w:r>
          </w:p>
        </w:tc>
        <w:tc>
          <w:tcPr>
            <w:tcW w:w="6667" w:type="dxa"/>
            <w:gridSpan w:val="4"/>
            <w:tcBorders>
              <w:top w:val="dotted" w:sz="4" w:space="0" w:color="auto"/>
            </w:tcBorders>
          </w:tcPr>
          <w:p w14:paraId="01E47140" w14:textId="77777777"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14:paraId="1BFAD52A" w14:textId="77777777" w:rsidTr="00317E7D">
        <w:trPr>
          <w:trHeight w:val="277"/>
        </w:trPr>
        <w:tc>
          <w:tcPr>
            <w:tcW w:w="2126" w:type="dxa"/>
            <w:vMerge w:val="restart"/>
          </w:tcPr>
          <w:p w14:paraId="367FAFCB"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 xml:space="preserve">Vrsta mjere </w:t>
            </w:r>
          </w:p>
        </w:tc>
        <w:tc>
          <w:tcPr>
            <w:tcW w:w="2944" w:type="dxa"/>
            <w:gridSpan w:val="2"/>
          </w:tcPr>
          <w:p w14:paraId="5B87D6DC"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Program</w:t>
            </w:r>
          </w:p>
        </w:tc>
        <w:tc>
          <w:tcPr>
            <w:tcW w:w="3723" w:type="dxa"/>
            <w:gridSpan w:val="2"/>
          </w:tcPr>
          <w:p w14:paraId="054AA724" w14:textId="77777777" w:rsidR="006802F3" w:rsidRPr="006802F3" w:rsidRDefault="006802F3" w:rsidP="00C6449A">
            <w:pPr>
              <w:spacing w:after="0"/>
              <w:rPr>
                <w:rFonts w:ascii="Times New Roman" w:hAnsi="Times New Roman"/>
              </w:rPr>
            </w:pPr>
          </w:p>
        </w:tc>
      </w:tr>
      <w:tr w:rsidR="006802F3" w:rsidRPr="006802F3" w14:paraId="7B21D6CD" w14:textId="77777777" w:rsidTr="00317E7D">
        <w:trPr>
          <w:trHeight w:val="277"/>
        </w:trPr>
        <w:tc>
          <w:tcPr>
            <w:tcW w:w="2126" w:type="dxa"/>
            <w:vMerge/>
          </w:tcPr>
          <w:p w14:paraId="00D071DF" w14:textId="77777777" w:rsidR="006802F3" w:rsidRPr="004F0329" w:rsidRDefault="006802F3" w:rsidP="00C6449A">
            <w:pPr>
              <w:spacing w:after="0"/>
              <w:rPr>
                <w:rFonts w:ascii="Times New Roman" w:hAnsi="Times New Roman"/>
                <w:b/>
                <w:sz w:val="24"/>
                <w:szCs w:val="24"/>
              </w:rPr>
            </w:pPr>
          </w:p>
        </w:tc>
        <w:bookmarkStart w:id="4" w:name="Check1"/>
        <w:tc>
          <w:tcPr>
            <w:tcW w:w="2944" w:type="dxa"/>
            <w:gridSpan w:val="2"/>
          </w:tcPr>
          <w:p w14:paraId="57AD21AC"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bookmarkEnd w:id="4"/>
            <w:r>
              <w:t xml:space="preserve"> </w:t>
            </w:r>
            <w:r>
              <w:rPr>
                <w:rFonts w:ascii="Times New Roman" w:hAnsi="Times New Roman"/>
                <w:b/>
              </w:rPr>
              <w:t>Jednokratna potpora</w:t>
            </w:r>
          </w:p>
        </w:tc>
        <w:tc>
          <w:tcPr>
            <w:tcW w:w="3723" w:type="dxa"/>
            <w:gridSpan w:val="2"/>
          </w:tcPr>
          <w:p w14:paraId="27F19D07" w14:textId="77777777" w:rsidR="006802F3" w:rsidRPr="006802F3" w:rsidRDefault="006802F3" w:rsidP="00C6449A">
            <w:pPr>
              <w:spacing w:after="0"/>
              <w:rPr>
                <w:rFonts w:ascii="Times New Roman" w:hAnsi="Times New Roman"/>
              </w:rPr>
            </w:pPr>
            <w:r>
              <w:rPr>
                <w:rFonts w:ascii="Times New Roman" w:hAnsi="Times New Roman"/>
                <w:b/>
              </w:rPr>
              <w:t>Ime/naziv korisnika i skupina</w:t>
            </w:r>
            <w:r>
              <w:rPr>
                <w:rStyle w:val="Referencafusnote"/>
                <w:rFonts w:ascii="Times New Roman" w:hAnsi="Times New Roman"/>
                <w:b/>
              </w:rPr>
              <w:footnoteReference w:id="3"/>
            </w:r>
            <w:r>
              <w:rPr>
                <w:rFonts w:ascii="Times New Roman" w:hAnsi="Times New Roman"/>
                <w:b/>
              </w:rPr>
              <w:t xml:space="preserve"> kojoj pripada</w:t>
            </w:r>
            <w:r>
              <w:rPr>
                <w:rFonts w:ascii="Times New Roman" w:hAnsi="Times New Roman"/>
                <w:b/>
              </w:rPr>
              <w:br/>
            </w:r>
            <w:r>
              <w:rPr>
                <w:rFonts w:ascii="Times New Roman" w:hAnsi="Times New Roman"/>
              </w:rPr>
              <w:t>...............................................................</w:t>
            </w:r>
          </w:p>
        </w:tc>
      </w:tr>
      <w:tr w:rsidR="006802F3" w:rsidRPr="006802F3" w14:paraId="7A120E74" w14:textId="77777777" w:rsidTr="00317E7D">
        <w:trPr>
          <w:trHeight w:val="486"/>
        </w:trPr>
        <w:tc>
          <w:tcPr>
            <w:tcW w:w="2126" w:type="dxa"/>
            <w:vMerge w:val="restart"/>
          </w:tcPr>
          <w:p w14:paraId="5C3A7EB1"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Nadopuna postojećeg programa potpore ili jednokratne potpore</w:t>
            </w:r>
          </w:p>
        </w:tc>
        <w:tc>
          <w:tcPr>
            <w:tcW w:w="2944" w:type="dxa"/>
            <w:gridSpan w:val="2"/>
            <w:shd w:val="clear" w:color="auto" w:fill="C0C0C0"/>
          </w:tcPr>
          <w:p w14:paraId="4B1B2ED5" w14:textId="77777777" w:rsidR="006802F3" w:rsidRPr="006802F3" w:rsidRDefault="006802F3" w:rsidP="00C6449A">
            <w:pPr>
              <w:spacing w:after="0"/>
              <w:rPr>
                <w:rFonts w:ascii="Times New Roman" w:hAnsi="Times New Roman"/>
                <w:b/>
              </w:rPr>
            </w:pPr>
          </w:p>
        </w:tc>
        <w:tc>
          <w:tcPr>
            <w:tcW w:w="3723" w:type="dxa"/>
            <w:gridSpan w:val="2"/>
          </w:tcPr>
          <w:p w14:paraId="6CE075BF" w14:textId="77777777" w:rsidR="006802F3" w:rsidRPr="006802F3" w:rsidRDefault="006802F3" w:rsidP="00C6449A">
            <w:pPr>
              <w:spacing w:after="0"/>
              <w:rPr>
                <w:rFonts w:ascii="Times New Roman" w:hAnsi="Times New Roman"/>
                <w:b/>
              </w:rPr>
            </w:pPr>
            <w:r>
              <w:rPr>
                <w:rFonts w:ascii="Times New Roman" w:hAnsi="Times New Roman"/>
                <w:b/>
              </w:rPr>
              <w:t>Referenca potpore kod Komisije</w:t>
            </w:r>
          </w:p>
        </w:tc>
      </w:tr>
      <w:tr w:rsidR="006802F3" w:rsidRPr="006802F3" w14:paraId="4824CDC5" w14:textId="77777777" w:rsidTr="00317E7D">
        <w:trPr>
          <w:trHeight w:val="486"/>
        </w:trPr>
        <w:tc>
          <w:tcPr>
            <w:tcW w:w="2126" w:type="dxa"/>
            <w:vMerge/>
          </w:tcPr>
          <w:p w14:paraId="21C171E7" w14:textId="77777777" w:rsidR="006802F3" w:rsidRPr="004F0329" w:rsidRDefault="006802F3" w:rsidP="00C6449A">
            <w:pPr>
              <w:spacing w:after="0"/>
              <w:rPr>
                <w:rFonts w:ascii="Times New Roman" w:hAnsi="Times New Roman"/>
                <w:b/>
                <w:sz w:val="24"/>
                <w:szCs w:val="24"/>
              </w:rPr>
            </w:pPr>
          </w:p>
        </w:tc>
        <w:tc>
          <w:tcPr>
            <w:tcW w:w="2944" w:type="dxa"/>
            <w:gridSpan w:val="2"/>
          </w:tcPr>
          <w:p w14:paraId="153B64D7"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Produljenje</w:t>
            </w:r>
          </w:p>
        </w:tc>
        <w:tc>
          <w:tcPr>
            <w:tcW w:w="3723" w:type="dxa"/>
            <w:gridSpan w:val="2"/>
          </w:tcPr>
          <w:p w14:paraId="22984F3E" w14:textId="77777777" w:rsidR="006802F3" w:rsidRPr="00317E7D"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14:paraId="5AC2DD64" w14:textId="77777777" w:rsidTr="00317E7D">
        <w:trPr>
          <w:trHeight w:val="486"/>
        </w:trPr>
        <w:tc>
          <w:tcPr>
            <w:tcW w:w="2126" w:type="dxa"/>
            <w:vMerge/>
          </w:tcPr>
          <w:p w14:paraId="46F6ED03" w14:textId="77777777" w:rsidR="006802F3" w:rsidRPr="004F0329" w:rsidRDefault="006802F3" w:rsidP="00C6449A">
            <w:pPr>
              <w:spacing w:after="0"/>
              <w:rPr>
                <w:rFonts w:ascii="Times New Roman" w:hAnsi="Times New Roman"/>
                <w:b/>
                <w:sz w:val="24"/>
                <w:szCs w:val="24"/>
              </w:rPr>
            </w:pPr>
          </w:p>
        </w:tc>
        <w:tc>
          <w:tcPr>
            <w:tcW w:w="2944" w:type="dxa"/>
            <w:gridSpan w:val="2"/>
          </w:tcPr>
          <w:p w14:paraId="09EF5BE4"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Izmjena</w:t>
            </w:r>
          </w:p>
        </w:tc>
        <w:tc>
          <w:tcPr>
            <w:tcW w:w="3723" w:type="dxa"/>
            <w:gridSpan w:val="2"/>
          </w:tcPr>
          <w:p w14:paraId="3EA4FE76" w14:textId="77777777" w:rsidR="006802F3" w:rsidRPr="00317E7D"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14:paraId="56CED34A" w14:textId="77777777" w:rsidTr="00317E7D">
        <w:trPr>
          <w:trHeight w:val="338"/>
        </w:trPr>
        <w:tc>
          <w:tcPr>
            <w:tcW w:w="2126" w:type="dxa"/>
          </w:tcPr>
          <w:p w14:paraId="00B42E15"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Trajanje</w:t>
            </w:r>
            <w:r w:rsidRPr="004F0329">
              <w:rPr>
                <w:rStyle w:val="Referencafusnote"/>
                <w:rFonts w:ascii="Times New Roman" w:hAnsi="Times New Roman"/>
                <w:b/>
                <w:sz w:val="24"/>
                <w:szCs w:val="24"/>
              </w:rPr>
              <w:footnoteReference w:id="4"/>
            </w:r>
          </w:p>
        </w:tc>
        <w:tc>
          <w:tcPr>
            <w:tcW w:w="2944" w:type="dxa"/>
            <w:gridSpan w:val="2"/>
          </w:tcPr>
          <w:p w14:paraId="1B588C8F"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Program</w:t>
            </w:r>
          </w:p>
        </w:tc>
        <w:tc>
          <w:tcPr>
            <w:tcW w:w="3723" w:type="dxa"/>
            <w:gridSpan w:val="2"/>
          </w:tcPr>
          <w:p w14:paraId="2F1514E1" w14:textId="77777777" w:rsidR="006802F3" w:rsidRPr="006802F3" w:rsidRDefault="006802F3" w:rsidP="00C6449A">
            <w:pPr>
              <w:spacing w:after="0"/>
              <w:rPr>
                <w:rFonts w:ascii="Times New Roman" w:hAnsi="Times New Roman"/>
              </w:rPr>
            </w:pPr>
            <w:proofErr w:type="spellStart"/>
            <w:r>
              <w:rPr>
                <w:rFonts w:ascii="Times New Roman" w:hAnsi="Times New Roman"/>
              </w:rPr>
              <w:t>dd</w:t>
            </w:r>
            <w:proofErr w:type="spellEnd"/>
            <w:r>
              <w:rPr>
                <w:rFonts w:ascii="Times New Roman" w:hAnsi="Times New Roman"/>
              </w:rPr>
              <w:t>. mm. </w:t>
            </w:r>
            <w:proofErr w:type="spellStart"/>
            <w:r>
              <w:rPr>
                <w:rFonts w:ascii="Times New Roman" w:hAnsi="Times New Roman"/>
              </w:rPr>
              <w:t>gggg</w:t>
            </w:r>
            <w:proofErr w:type="spellEnd"/>
            <w:r>
              <w:rPr>
                <w:rFonts w:ascii="Times New Roman" w:hAnsi="Times New Roman"/>
              </w:rPr>
              <w:t>. – </w:t>
            </w:r>
            <w:proofErr w:type="spellStart"/>
            <w:r>
              <w:rPr>
                <w:rFonts w:ascii="Times New Roman" w:hAnsi="Times New Roman"/>
              </w:rPr>
              <w:t>dd</w:t>
            </w:r>
            <w:proofErr w:type="spellEnd"/>
            <w:r>
              <w:rPr>
                <w:rFonts w:ascii="Times New Roman" w:hAnsi="Times New Roman"/>
              </w:rPr>
              <w:t>. mm. </w:t>
            </w:r>
            <w:proofErr w:type="spellStart"/>
            <w:r>
              <w:rPr>
                <w:rFonts w:ascii="Times New Roman" w:hAnsi="Times New Roman"/>
              </w:rPr>
              <w:t>gggg</w:t>
            </w:r>
            <w:proofErr w:type="spellEnd"/>
            <w:r>
              <w:rPr>
                <w:rFonts w:ascii="Times New Roman" w:hAnsi="Times New Roman"/>
              </w:rPr>
              <w:t>.</w:t>
            </w:r>
          </w:p>
        </w:tc>
      </w:tr>
      <w:tr w:rsidR="006802F3" w:rsidRPr="006802F3" w14:paraId="12525AD4" w14:textId="77777777" w:rsidTr="00317E7D">
        <w:trPr>
          <w:trHeight w:val="338"/>
        </w:trPr>
        <w:tc>
          <w:tcPr>
            <w:tcW w:w="2126" w:type="dxa"/>
          </w:tcPr>
          <w:p w14:paraId="578CB461"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Datum dodjele</w:t>
            </w:r>
            <w:r w:rsidRPr="004F0329">
              <w:rPr>
                <w:rStyle w:val="Referencafusnote"/>
                <w:rFonts w:ascii="Times New Roman" w:hAnsi="Times New Roman"/>
                <w:b/>
                <w:sz w:val="24"/>
                <w:szCs w:val="24"/>
              </w:rPr>
              <w:footnoteReference w:id="5"/>
            </w:r>
            <w:r w:rsidRPr="004F0329">
              <w:rPr>
                <w:rFonts w:ascii="Times New Roman" w:hAnsi="Times New Roman"/>
                <w:b/>
                <w:sz w:val="24"/>
                <w:szCs w:val="24"/>
              </w:rPr>
              <w:t xml:space="preserve"> </w:t>
            </w:r>
          </w:p>
        </w:tc>
        <w:tc>
          <w:tcPr>
            <w:tcW w:w="2944" w:type="dxa"/>
            <w:gridSpan w:val="2"/>
          </w:tcPr>
          <w:p w14:paraId="4BF0E460"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Jednokratna potpora</w:t>
            </w:r>
          </w:p>
        </w:tc>
        <w:tc>
          <w:tcPr>
            <w:tcW w:w="3723" w:type="dxa"/>
            <w:gridSpan w:val="2"/>
          </w:tcPr>
          <w:p w14:paraId="7376095E" w14:textId="77777777" w:rsidR="006802F3" w:rsidRPr="006802F3" w:rsidRDefault="006802F3" w:rsidP="00C6449A">
            <w:pPr>
              <w:spacing w:after="0"/>
              <w:rPr>
                <w:rFonts w:ascii="Times New Roman" w:hAnsi="Times New Roman"/>
              </w:rPr>
            </w:pPr>
            <w:proofErr w:type="spellStart"/>
            <w:r>
              <w:rPr>
                <w:rFonts w:ascii="Times New Roman" w:hAnsi="Times New Roman"/>
              </w:rPr>
              <w:t>dd</w:t>
            </w:r>
            <w:proofErr w:type="spellEnd"/>
            <w:r>
              <w:rPr>
                <w:rFonts w:ascii="Times New Roman" w:hAnsi="Times New Roman"/>
              </w:rPr>
              <w:t>. mm. </w:t>
            </w:r>
            <w:proofErr w:type="spellStart"/>
            <w:r>
              <w:rPr>
                <w:rFonts w:ascii="Times New Roman" w:hAnsi="Times New Roman"/>
              </w:rPr>
              <w:t>gggg</w:t>
            </w:r>
            <w:proofErr w:type="spellEnd"/>
            <w:r>
              <w:rPr>
                <w:rFonts w:ascii="Times New Roman" w:hAnsi="Times New Roman"/>
              </w:rPr>
              <w:t>.</w:t>
            </w:r>
          </w:p>
        </w:tc>
      </w:tr>
      <w:tr w:rsidR="006802F3" w:rsidRPr="006802F3" w14:paraId="1231F569" w14:textId="77777777" w:rsidTr="00317E7D">
        <w:trPr>
          <w:trHeight w:val="535"/>
        </w:trPr>
        <w:tc>
          <w:tcPr>
            <w:tcW w:w="2126" w:type="dxa"/>
            <w:vMerge w:val="restart"/>
          </w:tcPr>
          <w:p w14:paraId="7C733E45"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Predmetni gospodarski sektor/sektori</w:t>
            </w:r>
          </w:p>
        </w:tc>
        <w:tc>
          <w:tcPr>
            <w:tcW w:w="2944" w:type="dxa"/>
            <w:gridSpan w:val="2"/>
          </w:tcPr>
          <w:p w14:paraId="6C28D34D" w14:textId="77777777" w:rsidR="006802F3" w:rsidRPr="006802F3" w:rsidRDefault="000674F4" w:rsidP="00317E7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tab/>
            </w:r>
            <w:r>
              <w:rPr>
                <w:rFonts w:ascii="Times New Roman" w:hAnsi="Times New Roman"/>
                <w:b/>
              </w:rPr>
              <w:t xml:space="preserve">Svi gospodarski sektori prihvatljivi za primanje potpore </w:t>
            </w:r>
          </w:p>
        </w:tc>
        <w:tc>
          <w:tcPr>
            <w:tcW w:w="3723" w:type="dxa"/>
            <w:gridSpan w:val="2"/>
          </w:tcPr>
          <w:p w14:paraId="753F2316" w14:textId="77777777" w:rsidR="006802F3" w:rsidRPr="006802F3" w:rsidRDefault="006802F3" w:rsidP="00C6449A">
            <w:pPr>
              <w:spacing w:after="0"/>
              <w:rPr>
                <w:rFonts w:ascii="Times New Roman" w:hAnsi="Times New Roman"/>
              </w:rPr>
            </w:pPr>
          </w:p>
        </w:tc>
      </w:tr>
      <w:tr w:rsidR="006802F3" w:rsidRPr="006802F3" w14:paraId="09638CD4" w14:textId="77777777" w:rsidTr="00317E7D">
        <w:trPr>
          <w:trHeight w:val="820"/>
        </w:trPr>
        <w:tc>
          <w:tcPr>
            <w:tcW w:w="2126" w:type="dxa"/>
            <w:vMerge/>
          </w:tcPr>
          <w:p w14:paraId="21A07EB5" w14:textId="77777777" w:rsidR="006802F3" w:rsidRPr="004F0329" w:rsidRDefault="006802F3" w:rsidP="00C6449A">
            <w:pPr>
              <w:spacing w:after="0"/>
              <w:rPr>
                <w:rFonts w:ascii="Times New Roman" w:hAnsi="Times New Roman"/>
                <w:b/>
                <w:sz w:val="24"/>
                <w:szCs w:val="24"/>
              </w:rPr>
            </w:pPr>
          </w:p>
        </w:tc>
        <w:tc>
          <w:tcPr>
            <w:tcW w:w="2944" w:type="dxa"/>
            <w:gridSpan w:val="2"/>
          </w:tcPr>
          <w:p w14:paraId="2529BD1F" w14:textId="77777777" w:rsidR="006802F3" w:rsidRPr="006802F3" w:rsidRDefault="000674F4" w:rsidP="00317E7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tab/>
            </w:r>
            <w:r>
              <w:rPr>
                <w:rFonts w:ascii="Times New Roman" w:hAnsi="Times New Roman"/>
                <w:b/>
              </w:rPr>
              <w:t>Ograničena na određene sektore: označite razinu skupine prema NACE-u</w:t>
            </w:r>
            <w:r>
              <w:rPr>
                <w:rStyle w:val="Referencafusnote"/>
                <w:rFonts w:ascii="Times New Roman" w:hAnsi="Times New Roman"/>
                <w:b/>
              </w:rPr>
              <w:footnoteReference w:id="6"/>
            </w:r>
          </w:p>
        </w:tc>
        <w:tc>
          <w:tcPr>
            <w:tcW w:w="3723" w:type="dxa"/>
            <w:gridSpan w:val="2"/>
          </w:tcPr>
          <w:p w14:paraId="4D492028" w14:textId="77777777" w:rsidR="006802F3" w:rsidRPr="006802F3" w:rsidRDefault="000674F4" w:rsidP="006101FC">
            <w:pPr>
              <w:spacing w:after="0"/>
              <w:rPr>
                <w:rFonts w:ascii="Times New Roman" w:hAnsi="Times New Roman"/>
              </w:rPr>
            </w:pPr>
            <w:r>
              <w:rPr>
                <w:rFonts w:ascii="Times New Roman" w:hAnsi="Times New Roman"/>
              </w:rPr>
              <w:br/>
              <w:t>………………………………………..</w:t>
            </w:r>
            <w:r>
              <w:rPr>
                <w:rFonts w:ascii="Times New Roman" w:hAnsi="Times New Roman"/>
              </w:rPr>
              <w:br/>
              <w:t>………………………………………..</w:t>
            </w:r>
            <w:r>
              <w:rPr>
                <w:rFonts w:ascii="Times New Roman" w:hAnsi="Times New Roman"/>
              </w:rPr>
              <w:br/>
              <w:t>………………………………………..</w:t>
            </w:r>
          </w:p>
        </w:tc>
      </w:tr>
      <w:tr w:rsidR="006802F3" w:rsidRPr="006802F3" w14:paraId="04DD78FF" w14:textId="77777777" w:rsidTr="00317E7D">
        <w:trPr>
          <w:trHeight w:val="185"/>
        </w:trPr>
        <w:tc>
          <w:tcPr>
            <w:tcW w:w="2126" w:type="dxa"/>
            <w:vMerge w:val="restart"/>
          </w:tcPr>
          <w:p w14:paraId="4B1E62E1"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Vrsta korisnika</w:t>
            </w:r>
          </w:p>
        </w:tc>
        <w:tc>
          <w:tcPr>
            <w:tcW w:w="2944" w:type="dxa"/>
            <w:gridSpan w:val="2"/>
          </w:tcPr>
          <w:p w14:paraId="67C41E9D"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MSP</w:t>
            </w:r>
          </w:p>
        </w:tc>
        <w:tc>
          <w:tcPr>
            <w:tcW w:w="3723" w:type="dxa"/>
            <w:gridSpan w:val="2"/>
          </w:tcPr>
          <w:p w14:paraId="69D754CF" w14:textId="77777777" w:rsidR="006802F3" w:rsidRPr="006802F3" w:rsidRDefault="006802F3" w:rsidP="00C6449A">
            <w:pPr>
              <w:spacing w:after="0"/>
              <w:rPr>
                <w:rFonts w:ascii="Times New Roman" w:hAnsi="Times New Roman"/>
              </w:rPr>
            </w:pPr>
          </w:p>
        </w:tc>
      </w:tr>
      <w:tr w:rsidR="006802F3" w:rsidRPr="006802F3" w14:paraId="1841AEFB" w14:textId="77777777" w:rsidTr="00317E7D">
        <w:trPr>
          <w:trHeight w:val="185"/>
        </w:trPr>
        <w:tc>
          <w:tcPr>
            <w:tcW w:w="2126" w:type="dxa"/>
            <w:vMerge/>
          </w:tcPr>
          <w:p w14:paraId="3F77826A" w14:textId="77777777" w:rsidR="006802F3" w:rsidRPr="004F0329" w:rsidRDefault="006802F3" w:rsidP="00C6449A">
            <w:pPr>
              <w:spacing w:after="0"/>
              <w:rPr>
                <w:rFonts w:ascii="Times New Roman" w:hAnsi="Times New Roman"/>
                <w:b/>
                <w:sz w:val="24"/>
                <w:szCs w:val="24"/>
              </w:rPr>
            </w:pPr>
          </w:p>
        </w:tc>
        <w:tc>
          <w:tcPr>
            <w:tcW w:w="2944" w:type="dxa"/>
            <w:gridSpan w:val="2"/>
          </w:tcPr>
          <w:p w14:paraId="66D2E3B0"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Veliki poduzetnici</w:t>
            </w:r>
          </w:p>
        </w:tc>
        <w:tc>
          <w:tcPr>
            <w:tcW w:w="3723" w:type="dxa"/>
            <w:gridSpan w:val="2"/>
          </w:tcPr>
          <w:p w14:paraId="4375C635" w14:textId="77777777" w:rsidR="006802F3" w:rsidRPr="006802F3" w:rsidRDefault="006802F3" w:rsidP="00C6449A">
            <w:pPr>
              <w:spacing w:after="0"/>
              <w:rPr>
                <w:rFonts w:ascii="Times New Roman" w:hAnsi="Times New Roman"/>
              </w:rPr>
            </w:pPr>
          </w:p>
        </w:tc>
      </w:tr>
      <w:tr w:rsidR="00B16E48" w:rsidRPr="006802F3" w14:paraId="4C08B00B" w14:textId="77777777" w:rsidTr="00317E7D">
        <w:trPr>
          <w:trHeight w:val="337"/>
        </w:trPr>
        <w:tc>
          <w:tcPr>
            <w:tcW w:w="2126" w:type="dxa"/>
          </w:tcPr>
          <w:p w14:paraId="7D09AE9C" w14:textId="565E2E23" w:rsidR="00B16E48" w:rsidRPr="00AE4D62" w:rsidRDefault="00B16E48" w:rsidP="00C6449A">
            <w:pPr>
              <w:spacing w:after="0"/>
              <w:rPr>
                <w:rFonts w:ascii="Times New Roman" w:hAnsi="Times New Roman"/>
                <w:bCs/>
                <w:sz w:val="24"/>
                <w:szCs w:val="24"/>
              </w:rPr>
            </w:pPr>
            <w:r w:rsidRPr="00AE4D62">
              <w:rPr>
                <w:rFonts w:ascii="Times New Roman" w:hAnsi="Times New Roman"/>
                <w:bCs/>
                <w:sz w:val="24"/>
                <w:szCs w:val="24"/>
              </w:rPr>
              <w:t>Procijenjeni broj korisnika</w:t>
            </w:r>
          </w:p>
        </w:tc>
        <w:tc>
          <w:tcPr>
            <w:tcW w:w="2944" w:type="dxa"/>
            <w:gridSpan w:val="2"/>
          </w:tcPr>
          <w:p w14:paraId="6B91285A" w14:textId="4ABF05B0" w:rsidR="00B16E48" w:rsidRPr="00B16E48" w:rsidRDefault="00B16E48" w:rsidP="00B16E48">
            <w:pPr>
              <w:spacing w:after="0"/>
              <w:rPr>
                <w:rFonts w:ascii="Times New Roman" w:hAnsi="Times New Roman"/>
                <w:sz w:val="24"/>
                <w:szCs w:val="20"/>
              </w:rPr>
            </w:pPr>
            <w:r w:rsidRPr="00B16E48">
              <w:rPr>
                <w:rFonts w:ascii="Times New Roman" w:hAnsi="Times New Roman"/>
                <w:b/>
                <w:bCs/>
                <w:sz w:val="24"/>
                <w:szCs w:val="20"/>
              </w:rPr>
              <w:fldChar w:fldCharType="begin">
                <w:ffData>
                  <w:name w:val="Check1"/>
                  <w:enabled/>
                  <w:calcOnExit w:val="0"/>
                  <w:checkBox>
                    <w:sizeAuto/>
                    <w:default w:val="0"/>
                  </w:checkBox>
                </w:ffData>
              </w:fldChar>
            </w:r>
            <w:r w:rsidRPr="00B16E48">
              <w:rPr>
                <w:rFonts w:ascii="Times New Roman" w:hAnsi="Times New Roman"/>
                <w:b/>
                <w:bCs/>
                <w:sz w:val="24"/>
                <w:szCs w:val="20"/>
              </w:rPr>
              <w:instrText xml:space="preserve"> FORMCHECKBOX </w:instrText>
            </w:r>
            <w:r w:rsidR="00111F98">
              <w:rPr>
                <w:rFonts w:ascii="Times New Roman" w:hAnsi="Times New Roman"/>
                <w:b/>
                <w:bCs/>
                <w:sz w:val="24"/>
                <w:szCs w:val="20"/>
              </w:rPr>
            </w:r>
            <w:r w:rsidR="00111F98">
              <w:rPr>
                <w:rFonts w:ascii="Times New Roman" w:hAnsi="Times New Roman"/>
                <w:b/>
                <w:bCs/>
                <w:sz w:val="24"/>
                <w:szCs w:val="20"/>
              </w:rPr>
              <w:fldChar w:fldCharType="separate"/>
            </w:r>
            <w:r w:rsidRPr="00B16E48">
              <w:rPr>
                <w:rFonts w:ascii="Times New Roman" w:hAnsi="Times New Roman"/>
                <w:b/>
                <w:bCs/>
                <w:sz w:val="24"/>
                <w:szCs w:val="20"/>
              </w:rPr>
              <w:fldChar w:fldCharType="end"/>
            </w:r>
            <w:r>
              <w:rPr>
                <w:rFonts w:ascii="Times New Roman" w:hAnsi="Times New Roman"/>
                <w:b/>
                <w:bCs/>
                <w:sz w:val="24"/>
                <w:szCs w:val="20"/>
              </w:rPr>
              <w:t xml:space="preserve"> </w:t>
            </w:r>
            <w:r w:rsidRPr="00B16E48">
              <w:rPr>
                <w:rFonts w:ascii="Times New Roman" w:hAnsi="Times New Roman"/>
                <w:sz w:val="24"/>
                <w:szCs w:val="20"/>
              </w:rPr>
              <w:t>manje od 10</w:t>
            </w:r>
          </w:p>
          <w:p w14:paraId="3AC5EB46" w14:textId="4DD5A367" w:rsidR="00B16E48" w:rsidRPr="00B16E48" w:rsidRDefault="00B16E48" w:rsidP="00B16E48">
            <w:pPr>
              <w:spacing w:after="0"/>
              <w:rPr>
                <w:rFonts w:ascii="Times New Roman" w:hAnsi="Times New Roman"/>
                <w:sz w:val="24"/>
                <w:szCs w:val="20"/>
              </w:rPr>
            </w:pPr>
            <w:r w:rsidRPr="00B16E48">
              <w:rPr>
                <w:rFonts w:ascii="Times New Roman" w:hAnsi="Times New Roman"/>
                <w:b/>
                <w:bCs/>
                <w:sz w:val="24"/>
                <w:szCs w:val="20"/>
              </w:rPr>
              <w:fldChar w:fldCharType="begin">
                <w:ffData>
                  <w:name w:val=""/>
                  <w:enabled/>
                  <w:calcOnExit w:val="0"/>
                  <w:checkBox>
                    <w:sizeAuto/>
                    <w:default w:val="0"/>
                  </w:checkBox>
                </w:ffData>
              </w:fldChar>
            </w:r>
            <w:r w:rsidRPr="00B16E48">
              <w:rPr>
                <w:rFonts w:ascii="Times New Roman" w:hAnsi="Times New Roman"/>
                <w:b/>
                <w:bCs/>
                <w:sz w:val="24"/>
                <w:szCs w:val="20"/>
              </w:rPr>
              <w:instrText xml:space="preserve"> FORMCHECKBOX </w:instrText>
            </w:r>
            <w:r w:rsidR="00111F98">
              <w:rPr>
                <w:rFonts w:ascii="Times New Roman" w:hAnsi="Times New Roman"/>
                <w:b/>
                <w:bCs/>
                <w:sz w:val="24"/>
                <w:szCs w:val="20"/>
              </w:rPr>
            </w:r>
            <w:r w:rsidR="00111F98">
              <w:rPr>
                <w:rFonts w:ascii="Times New Roman" w:hAnsi="Times New Roman"/>
                <w:b/>
                <w:bCs/>
                <w:sz w:val="24"/>
                <w:szCs w:val="20"/>
              </w:rPr>
              <w:fldChar w:fldCharType="separate"/>
            </w:r>
            <w:r w:rsidRPr="00B16E48">
              <w:rPr>
                <w:rFonts w:ascii="Times New Roman" w:hAnsi="Times New Roman"/>
                <w:b/>
                <w:bCs/>
                <w:sz w:val="24"/>
                <w:szCs w:val="20"/>
              </w:rPr>
              <w:fldChar w:fldCharType="end"/>
            </w:r>
            <w:r>
              <w:rPr>
                <w:rFonts w:ascii="Times New Roman" w:hAnsi="Times New Roman"/>
                <w:b/>
                <w:bCs/>
                <w:sz w:val="24"/>
                <w:szCs w:val="20"/>
              </w:rPr>
              <w:t xml:space="preserve"> </w:t>
            </w:r>
            <w:r w:rsidRPr="00B16E48">
              <w:rPr>
                <w:rFonts w:ascii="Times New Roman" w:hAnsi="Times New Roman"/>
                <w:sz w:val="24"/>
                <w:szCs w:val="20"/>
              </w:rPr>
              <w:t>od 11 do 50</w:t>
            </w:r>
          </w:p>
          <w:p w14:paraId="55DFA988" w14:textId="2B9BD263" w:rsidR="00B16E48" w:rsidRPr="00B16E48" w:rsidRDefault="00B16E48" w:rsidP="00B16E48">
            <w:pPr>
              <w:spacing w:after="0"/>
              <w:rPr>
                <w:rFonts w:ascii="Times New Roman" w:hAnsi="Times New Roman"/>
                <w:sz w:val="24"/>
                <w:szCs w:val="20"/>
              </w:rPr>
            </w:pPr>
            <w:r w:rsidRPr="00B16E48">
              <w:rPr>
                <w:rFonts w:ascii="Times New Roman" w:hAnsi="Times New Roman"/>
                <w:b/>
                <w:bCs/>
                <w:sz w:val="24"/>
                <w:szCs w:val="20"/>
              </w:rPr>
              <w:fldChar w:fldCharType="begin">
                <w:ffData>
                  <w:name w:val="Check1"/>
                  <w:enabled/>
                  <w:calcOnExit w:val="0"/>
                  <w:checkBox>
                    <w:sizeAuto/>
                    <w:default w:val="0"/>
                  </w:checkBox>
                </w:ffData>
              </w:fldChar>
            </w:r>
            <w:r w:rsidRPr="00B16E48">
              <w:rPr>
                <w:rFonts w:ascii="Times New Roman" w:hAnsi="Times New Roman"/>
                <w:b/>
                <w:bCs/>
                <w:sz w:val="24"/>
                <w:szCs w:val="20"/>
              </w:rPr>
              <w:instrText xml:space="preserve"> FORMCHECKBOX </w:instrText>
            </w:r>
            <w:r w:rsidR="00111F98">
              <w:rPr>
                <w:rFonts w:ascii="Times New Roman" w:hAnsi="Times New Roman"/>
                <w:b/>
                <w:bCs/>
                <w:sz w:val="24"/>
                <w:szCs w:val="20"/>
              </w:rPr>
            </w:r>
            <w:r w:rsidR="00111F98">
              <w:rPr>
                <w:rFonts w:ascii="Times New Roman" w:hAnsi="Times New Roman"/>
                <w:b/>
                <w:bCs/>
                <w:sz w:val="24"/>
                <w:szCs w:val="20"/>
              </w:rPr>
              <w:fldChar w:fldCharType="separate"/>
            </w:r>
            <w:r w:rsidRPr="00B16E48">
              <w:rPr>
                <w:rFonts w:ascii="Times New Roman" w:hAnsi="Times New Roman"/>
                <w:b/>
                <w:bCs/>
                <w:sz w:val="24"/>
                <w:szCs w:val="20"/>
              </w:rPr>
              <w:fldChar w:fldCharType="end"/>
            </w:r>
            <w:r>
              <w:rPr>
                <w:rFonts w:ascii="Times New Roman" w:hAnsi="Times New Roman"/>
                <w:b/>
                <w:bCs/>
                <w:sz w:val="24"/>
                <w:szCs w:val="20"/>
              </w:rPr>
              <w:t xml:space="preserve"> </w:t>
            </w:r>
            <w:r w:rsidRPr="00B16E48">
              <w:rPr>
                <w:rFonts w:ascii="Times New Roman" w:hAnsi="Times New Roman"/>
                <w:sz w:val="24"/>
                <w:szCs w:val="20"/>
              </w:rPr>
              <w:t>od 51 do 100</w:t>
            </w:r>
          </w:p>
          <w:p w14:paraId="00779CBA" w14:textId="07EE7B34" w:rsidR="00B16E48" w:rsidRPr="00B16E48" w:rsidRDefault="00B16E48" w:rsidP="00B16E48">
            <w:pPr>
              <w:spacing w:after="0"/>
              <w:rPr>
                <w:rFonts w:ascii="Times New Roman" w:hAnsi="Times New Roman"/>
                <w:sz w:val="24"/>
                <w:szCs w:val="20"/>
              </w:rPr>
            </w:pPr>
            <w:r w:rsidRPr="00B16E48">
              <w:rPr>
                <w:rFonts w:ascii="Times New Roman" w:hAnsi="Times New Roman"/>
                <w:b/>
                <w:bCs/>
                <w:sz w:val="24"/>
                <w:szCs w:val="20"/>
              </w:rPr>
              <w:fldChar w:fldCharType="begin">
                <w:ffData>
                  <w:name w:val="Check1"/>
                  <w:enabled/>
                  <w:calcOnExit w:val="0"/>
                  <w:checkBox>
                    <w:sizeAuto/>
                    <w:default w:val="0"/>
                  </w:checkBox>
                </w:ffData>
              </w:fldChar>
            </w:r>
            <w:r w:rsidRPr="00B16E48">
              <w:rPr>
                <w:rFonts w:ascii="Times New Roman" w:hAnsi="Times New Roman"/>
                <w:b/>
                <w:bCs/>
                <w:sz w:val="24"/>
                <w:szCs w:val="20"/>
              </w:rPr>
              <w:instrText xml:space="preserve"> FORMCHECKBOX </w:instrText>
            </w:r>
            <w:r w:rsidR="00111F98">
              <w:rPr>
                <w:rFonts w:ascii="Times New Roman" w:hAnsi="Times New Roman"/>
                <w:b/>
                <w:bCs/>
                <w:sz w:val="24"/>
                <w:szCs w:val="20"/>
              </w:rPr>
            </w:r>
            <w:r w:rsidR="00111F98">
              <w:rPr>
                <w:rFonts w:ascii="Times New Roman" w:hAnsi="Times New Roman"/>
                <w:b/>
                <w:bCs/>
                <w:sz w:val="24"/>
                <w:szCs w:val="20"/>
              </w:rPr>
              <w:fldChar w:fldCharType="separate"/>
            </w:r>
            <w:r w:rsidRPr="00B16E48">
              <w:rPr>
                <w:rFonts w:ascii="Times New Roman" w:hAnsi="Times New Roman"/>
                <w:b/>
                <w:bCs/>
                <w:sz w:val="24"/>
                <w:szCs w:val="20"/>
              </w:rPr>
              <w:fldChar w:fldCharType="end"/>
            </w:r>
            <w:r w:rsidRPr="00B16E48">
              <w:rPr>
                <w:rFonts w:ascii="Times New Roman" w:hAnsi="Times New Roman"/>
                <w:sz w:val="24"/>
                <w:szCs w:val="20"/>
              </w:rPr>
              <w:t>od 101 do 500</w:t>
            </w:r>
          </w:p>
          <w:p w14:paraId="07C448A4" w14:textId="52B9496D" w:rsidR="00B16E48" w:rsidRPr="00B16E48" w:rsidRDefault="00B16E48" w:rsidP="00B16E48">
            <w:pPr>
              <w:spacing w:after="0"/>
              <w:rPr>
                <w:rFonts w:ascii="Times New Roman" w:hAnsi="Times New Roman"/>
                <w:sz w:val="24"/>
                <w:szCs w:val="20"/>
              </w:rPr>
            </w:pPr>
            <w:r w:rsidRPr="00B16E48">
              <w:rPr>
                <w:rFonts w:ascii="Times New Roman" w:hAnsi="Times New Roman"/>
                <w:b/>
                <w:bCs/>
                <w:sz w:val="24"/>
                <w:szCs w:val="20"/>
              </w:rPr>
              <w:fldChar w:fldCharType="begin">
                <w:ffData>
                  <w:name w:val="Check1"/>
                  <w:enabled/>
                  <w:calcOnExit w:val="0"/>
                  <w:checkBox>
                    <w:sizeAuto/>
                    <w:default w:val="0"/>
                  </w:checkBox>
                </w:ffData>
              </w:fldChar>
            </w:r>
            <w:r w:rsidRPr="00B16E48">
              <w:rPr>
                <w:rFonts w:ascii="Times New Roman" w:hAnsi="Times New Roman"/>
                <w:b/>
                <w:bCs/>
                <w:sz w:val="24"/>
                <w:szCs w:val="20"/>
              </w:rPr>
              <w:instrText xml:space="preserve"> FORMCHECKBOX </w:instrText>
            </w:r>
            <w:r w:rsidR="00111F98">
              <w:rPr>
                <w:rFonts w:ascii="Times New Roman" w:hAnsi="Times New Roman"/>
                <w:b/>
                <w:bCs/>
                <w:sz w:val="24"/>
                <w:szCs w:val="20"/>
              </w:rPr>
            </w:r>
            <w:r w:rsidR="00111F98">
              <w:rPr>
                <w:rFonts w:ascii="Times New Roman" w:hAnsi="Times New Roman"/>
                <w:b/>
                <w:bCs/>
                <w:sz w:val="24"/>
                <w:szCs w:val="20"/>
              </w:rPr>
              <w:fldChar w:fldCharType="separate"/>
            </w:r>
            <w:r w:rsidRPr="00B16E48">
              <w:rPr>
                <w:rFonts w:ascii="Times New Roman" w:hAnsi="Times New Roman"/>
                <w:b/>
                <w:bCs/>
                <w:sz w:val="24"/>
                <w:szCs w:val="20"/>
              </w:rPr>
              <w:fldChar w:fldCharType="end"/>
            </w:r>
            <w:r>
              <w:rPr>
                <w:rFonts w:ascii="Times New Roman" w:hAnsi="Times New Roman"/>
                <w:sz w:val="24"/>
                <w:szCs w:val="20"/>
              </w:rPr>
              <w:t xml:space="preserve"> </w:t>
            </w:r>
            <w:r w:rsidRPr="00B16E48">
              <w:rPr>
                <w:rFonts w:ascii="Times New Roman" w:hAnsi="Times New Roman"/>
                <w:sz w:val="24"/>
                <w:szCs w:val="20"/>
              </w:rPr>
              <w:t>od 501 do 1000</w:t>
            </w:r>
          </w:p>
          <w:p w14:paraId="777CA0E9" w14:textId="1C0F8ACD" w:rsidR="00B16E48" w:rsidRDefault="00B16E48" w:rsidP="00B16E48">
            <w:pPr>
              <w:spacing w:after="0"/>
              <w:rPr>
                <w:rFonts w:ascii="Times New Roman" w:hAnsi="Times New Roman"/>
                <w:b/>
              </w:rPr>
            </w:pPr>
            <w:r w:rsidRPr="00B16E48">
              <w:rPr>
                <w:rFonts w:ascii="Times New Roman" w:hAnsi="Times New Roman"/>
                <w:b/>
                <w:bCs/>
                <w:sz w:val="24"/>
                <w:szCs w:val="20"/>
              </w:rPr>
              <w:fldChar w:fldCharType="begin">
                <w:ffData>
                  <w:name w:val="Check1"/>
                  <w:enabled/>
                  <w:calcOnExit w:val="0"/>
                  <w:checkBox>
                    <w:sizeAuto/>
                    <w:default w:val="0"/>
                  </w:checkBox>
                </w:ffData>
              </w:fldChar>
            </w:r>
            <w:r w:rsidRPr="00B16E48">
              <w:rPr>
                <w:rFonts w:ascii="Times New Roman" w:hAnsi="Times New Roman"/>
                <w:b/>
                <w:bCs/>
                <w:sz w:val="24"/>
                <w:szCs w:val="20"/>
              </w:rPr>
              <w:instrText xml:space="preserve"> FORMCHECKBOX </w:instrText>
            </w:r>
            <w:r w:rsidR="00111F98">
              <w:rPr>
                <w:rFonts w:ascii="Times New Roman" w:hAnsi="Times New Roman"/>
                <w:b/>
                <w:bCs/>
                <w:sz w:val="24"/>
                <w:szCs w:val="20"/>
              </w:rPr>
            </w:r>
            <w:r w:rsidR="00111F98">
              <w:rPr>
                <w:rFonts w:ascii="Times New Roman" w:hAnsi="Times New Roman"/>
                <w:b/>
                <w:bCs/>
                <w:sz w:val="24"/>
                <w:szCs w:val="20"/>
              </w:rPr>
              <w:fldChar w:fldCharType="separate"/>
            </w:r>
            <w:r w:rsidRPr="00B16E48">
              <w:rPr>
                <w:rFonts w:ascii="Times New Roman" w:hAnsi="Times New Roman"/>
                <w:b/>
                <w:bCs/>
                <w:sz w:val="24"/>
                <w:szCs w:val="20"/>
              </w:rPr>
              <w:fldChar w:fldCharType="end"/>
            </w:r>
            <w:r>
              <w:rPr>
                <w:rFonts w:ascii="Times New Roman" w:hAnsi="Times New Roman"/>
                <w:sz w:val="24"/>
                <w:szCs w:val="20"/>
              </w:rPr>
              <w:t xml:space="preserve"> </w:t>
            </w:r>
            <w:r w:rsidRPr="00B16E48">
              <w:rPr>
                <w:rFonts w:ascii="Times New Roman" w:hAnsi="Times New Roman"/>
                <w:sz w:val="24"/>
                <w:szCs w:val="20"/>
              </w:rPr>
              <w:t xml:space="preserve">više od 1000 </w:t>
            </w:r>
          </w:p>
        </w:tc>
        <w:tc>
          <w:tcPr>
            <w:tcW w:w="3723" w:type="dxa"/>
            <w:gridSpan w:val="2"/>
          </w:tcPr>
          <w:p w14:paraId="03360FCC" w14:textId="77777777" w:rsidR="00B16E48" w:rsidRDefault="00B16E48" w:rsidP="00C6449A">
            <w:pPr>
              <w:spacing w:after="0"/>
              <w:rPr>
                <w:rFonts w:ascii="Times New Roman" w:hAnsi="Times New Roman"/>
                <w:b/>
              </w:rPr>
            </w:pPr>
          </w:p>
        </w:tc>
      </w:tr>
      <w:tr w:rsidR="006802F3" w:rsidRPr="006802F3" w14:paraId="4E84A7DA" w14:textId="77777777" w:rsidTr="00317E7D">
        <w:trPr>
          <w:trHeight w:val="337"/>
        </w:trPr>
        <w:tc>
          <w:tcPr>
            <w:tcW w:w="2126" w:type="dxa"/>
            <w:vMerge w:val="restart"/>
          </w:tcPr>
          <w:p w14:paraId="2AE290DA" w14:textId="77777777" w:rsidR="006802F3" w:rsidRPr="004F0329" w:rsidRDefault="006802F3" w:rsidP="00C6449A">
            <w:pPr>
              <w:spacing w:after="0"/>
              <w:rPr>
                <w:rFonts w:ascii="Times New Roman" w:hAnsi="Times New Roman"/>
                <w:b/>
                <w:sz w:val="24"/>
                <w:szCs w:val="24"/>
              </w:rPr>
            </w:pPr>
            <w:r w:rsidRPr="004F0329">
              <w:rPr>
                <w:rFonts w:ascii="Times New Roman" w:hAnsi="Times New Roman"/>
                <w:b/>
                <w:sz w:val="24"/>
                <w:szCs w:val="24"/>
              </w:rPr>
              <w:t xml:space="preserve">Proračun </w:t>
            </w:r>
          </w:p>
        </w:tc>
        <w:tc>
          <w:tcPr>
            <w:tcW w:w="2944" w:type="dxa"/>
            <w:gridSpan w:val="2"/>
          </w:tcPr>
          <w:p w14:paraId="50DBC17A" w14:textId="77777777" w:rsidR="006802F3" w:rsidRPr="006802F3" w:rsidRDefault="006802F3" w:rsidP="00C6449A">
            <w:pPr>
              <w:spacing w:after="0"/>
              <w:rPr>
                <w:rFonts w:ascii="Times New Roman" w:hAnsi="Times New Roman"/>
                <w:b/>
              </w:rPr>
            </w:pPr>
            <w:r>
              <w:rPr>
                <w:rFonts w:ascii="Times New Roman" w:hAnsi="Times New Roman"/>
                <w:b/>
              </w:rPr>
              <w:t>Ukupni godišnji iznos proračuna planiran u programu</w:t>
            </w:r>
            <w:r>
              <w:rPr>
                <w:rStyle w:val="Referencafusnote"/>
                <w:rFonts w:ascii="Times New Roman" w:hAnsi="Times New Roman"/>
                <w:b/>
              </w:rPr>
              <w:footnoteReference w:id="7"/>
            </w:r>
          </w:p>
        </w:tc>
        <w:tc>
          <w:tcPr>
            <w:tcW w:w="3723" w:type="dxa"/>
            <w:gridSpan w:val="2"/>
          </w:tcPr>
          <w:p w14:paraId="199A4DB3" w14:textId="77777777" w:rsidR="006802F3" w:rsidRPr="006802F3" w:rsidRDefault="006802F3" w:rsidP="00C6449A">
            <w:pPr>
              <w:spacing w:after="0"/>
              <w:rPr>
                <w:rFonts w:ascii="Times New Roman" w:hAnsi="Times New Roman"/>
                <w:b/>
              </w:rPr>
            </w:pPr>
            <w:r>
              <w:rPr>
                <w:rFonts w:ascii="Times New Roman" w:hAnsi="Times New Roman"/>
                <w:b/>
              </w:rPr>
              <w:t>Nacionalna valuta ... (puni iznosi)</w:t>
            </w:r>
          </w:p>
          <w:p w14:paraId="4FA3807A" w14:textId="77777777" w:rsidR="006802F3" w:rsidRPr="00317E7D" w:rsidRDefault="000674F4" w:rsidP="00C6449A">
            <w:pPr>
              <w:spacing w:after="0"/>
              <w:rPr>
                <w:rFonts w:ascii="Times New Roman" w:hAnsi="Times New Roman"/>
              </w:rPr>
            </w:pPr>
            <w:r>
              <w:rPr>
                <w:rFonts w:ascii="Times New Roman" w:hAnsi="Times New Roman"/>
              </w:rPr>
              <w:t>………………………………………</w:t>
            </w:r>
          </w:p>
        </w:tc>
      </w:tr>
      <w:tr w:rsidR="006802F3" w:rsidRPr="006802F3" w14:paraId="413B2137" w14:textId="77777777" w:rsidTr="00317E7D">
        <w:trPr>
          <w:trHeight w:val="337"/>
        </w:trPr>
        <w:tc>
          <w:tcPr>
            <w:tcW w:w="2126" w:type="dxa"/>
            <w:vMerge/>
          </w:tcPr>
          <w:p w14:paraId="522846BD" w14:textId="77777777" w:rsidR="006802F3" w:rsidRPr="004F0329" w:rsidRDefault="006802F3" w:rsidP="00C6449A">
            <w:pPr>
              <w:spacing w:after="0"/>
              <w:rPr>
                <w:rFonts w:ascii="Times New Roman" w:hAnsi="Times New Roman"/>
                <w:b/>
                <w:sz w:val="24"/>
                <w:szCs w:val="24"/>
              </w:rPr>
            </w:pPr>
          </w:p>
        </w:tc>
        <w:tc>
          <w:tcPr>
            <w:tcW w:w="2944" w:type="dxa"/>
            <w:gridSpan w:val="2"/>
          </w:tcPr>
          <w:p w14:paraId="6E2E93C1" w14:textId="77777777" w:rsidR="006802F3" w:rsidRPr="006802F3" w:rsidRDefault="006802F3" w:rsidP="00C6449A">
            <w:pPr>
              <w:spacing w:after="0"/>
              <w:rPr>
                <w:rFonts w:ascii="Times New Roman" w:hAnsi="Times New Roman"/>
                <w:b/>
              </w:rPr>
            </w:pPr>
            <w:r>
              <w:rPr>
                <w:rFonts w:ascii="Times New Roman" w:hAnsi="Times New Roman"/>
                <w:b/>
              </w:rPr>
              <w:t>Ukupni iznos jednokratne potpore dodijeljene poduzetniku</w:t>
            </w:r>
            <w:r>
              <w:rPr>
                <w:rStyle w:val="Referencafusnote"/>
                <w:rFonts w:ascii="Times New Roman" w:hAnsi="Times New Roman"/>
                <w:b/>
              </w:rPr>
              <w:footnoteReference w:id="8"/>
            </w:r>
          </w:p>
        </w:tc>
        <w:tc>
          <w:tcPr>
            <w:tcW w:w="3723" w:type="dxa"/>
            <w:gridSpan w:val="2"/>
          </w:tcPr>
          <w:p w14:paraId="0BE73DD1" w14:textId="77777777" w:rsidR="006802F3" w:rsidRPr="006802F3" w:rsidRDefault="006802F3" w:rsidP="00C6449A">
            <w:pPr>
              <w:spacing w:after="0"/>
              <w:rPr>
                <w:rFonts w:ascii="Times New Roman" w:hAnsi="Times New Roman"/>
                <w:b/>
              </w:rPr>
            </w:pPr>
            <w:r>
              <w:rPr>
                <w:rFonts w:ascii="Times New Roman" w:hAnsi="Times New Roman"/>
                <w:b/>
              </w:rPr>
              <w:t>Nacionalna valuta ... (puni iznosi)</w:t>
            </w:r>
            <w:r>
              <w:rPr>
                <w:rFonts w:ascii="Times New Roman" w:hAnsi="Times New Roman"/>
                <w:b/>
              </w:rPr>
              <w:br/>
            </w:r>
            <w:r>
              <w:rPr>
                <w:rFonts w:ascii="Times New Roman" w:hAnsi="Times New Roman"/>
              </w:rPr>
              <w:t>……………………………………….</w:t>
            </w:r>
          </w:p>
        </w:tc>
      </w:tr>
      <w:tr w:rsidR="006802F3" w:rsidRPr="006802F3" w14:paraId="4B1C90D8" w14:textId="77777777" w:rsidTr="00317E7D">
        <w:trPr>
          <w:trHeight w:val="337"/>
        </w:trPr>
        <w:tc>
          <w:tcPr>
            <w:tcW w:w="2126" w:type="dxa"/>
            <w:vMerge/>
          </w:tcPr>
          <w:p w14:paraId="14760DDB" w14:textId="77777777" w:rsidR="006802F3" w:rsidRPr="004F0329" w:rsidRDefault="006802F3" w:rsidP="00C6449A">
            <w:pPr>
              <w:spacing w:after="0"/>
              <w:rPr>
                <w:rFonts w:ascii="Times New Roman" w:hAnsi="Times New Roman"/>
                <w:b/>
                <w:sz w:val="24"/>
                <w:szCs w:val="24"/>
              </w:rPr>
            </w:pPr>
          </w:p>
        </w:tc>
        <w:tc>
          <w:tcPr>
            <w:tcW w:w="2944" w:type="dxa"/>
            <w:gridSpan w:val="2"/>
          </w:tcPr>
          <w:p w14:paraId="0FFE39FE"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Za jamstva</w:t>
            </w:r>
            <w:r>
              <w:rPr>
                <w:rStyle w:val="Referencafusnote"/>
                <w:rFonts w:ascii="Times New Roman" w:hAnsi="Times New Roman"/>
                <w:b/>
              </w:rPr>
              <w:footnoteReference w:id="9"/>
            </w:r>
          </w:p>
        </w:tc>
        <w:tc>
          <w:tcPr>
            <w:tcW w:w="3723" w:type="dxa"/>
            <w:gridSpan w:val="2"/>
          </w:tcPr>
          <w:p w14:paraId="270377ED" w14:textId="77777777" w:rsidR="006802F3" w:rsidRPr="00317E7D" w:rsidRDefault="006802F3" w:rsidP="00C6449A">
            <w:pPr>
              <w:spacing w:after="0"/>
              <w:rPr>
                <w:rFonts w:ascii="Times New Roman" w:hAnsi="Times New Roman"/>
              </w:rPr>
            </w:pPr>
            <w:r>
              <w:rPr>
                <w:rFonts w:ascii="Times New Roman" w:hAnsi="Times New Roman"/>
                <w:b/>
              </w:rPr>
              <w:t>Nacionalna valuta ... (puni iznosi)</w:t>
            </w:r>
            <w:r>
              <w:rPr>
                <w:rFonts w:ascii="Times New Roman" w:hAnsi="Times New Roman"/>
                <w:b/>
              </w:rPr>
              <w:br/>
            </w:r>
            <w:r>
              <w:rPr>
                <w:rFonts w:ascii="Times New Roman" w:hAnsi="Times New Roman"/>
              </w:rPr>
              <w:t>………………………………………</w:t>
            </w:r>
          </w:p>
        </w:tc>
      </w:tr>
      <w:tr w:rsidR="000674F4" w:rsidRPr="006802F3" w14:paraId="0ED5E264" w14:textId="77777777" w:rsidTr="009473C4">
        <w:trPr>
          <w:trHeight w:val="208"/>
        </w:trPr>
        <w:tc>
          <w:tcPr>
            <w:tcW w:w="2126" w:type="dxa"/>
            <w:vMerge w:val="restart"/>
          </w:tcPr>
          <w:p w14:paraId="21ED8ED4" w14:textId="77777777" w:rsidR="000674F4" w:rsidRPr="004F0329" w:rsidRDefault="000674F4" w:rsidP="00982BC3">
            <w:pPr>
              <w:spacing w:after="0"/>
              <w:rPr>
                <w:rFonts w:ascii="Times New Roman" w:hAnsi="Times New Roman"/>
                <w:b/>
                <w:sz w:val="24"/>
                <w:szCs w:val="24"/>
              </w:rPr>
            </w:pPr>
            <w:r w:rsidRPr="004F0329">
              <w:rPr>
                <w:rFonts w:ascii="Times New Roman" w:hAnsi="Times New Roman"/>
                <w:b/>
                <w:sz w:val="24"/>
                <w:szCs w:val="24"/>
              </w:rPr>
              <w:t>Instrument potpore</w:t>
            </w:r>
          </w:p>
        </w:tc>
        <w:tc>
          <w:tcPr>
            <w:tcW w:w="6667" w:type="dxa"/>
            <w:gridSpan w:val="4"/>
          </w:tcPr>
          <w:p w14:paraId="318D251F" w14:textId="77777777" w:rsidR="000674F4" w:rsidRPr="006802F3" w:rsidRDefault="000674F4" w:rsidP="00317E7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tab/>
            </w:r>
            <w:r>
              <w:rPr>
                <w:rFonts w:ascii="Times New Roman" w:hAnsi="Times New Roman"/>
                <w:b/>
              </w:rPr>
              <w:t>Bespovratno sredstvo / subvencija kamatnih stopa</w:t>
            </w:r>
          </w:p>
        </w:tc>
      </w:tr>
      <w:tr w:rsidR="000674F4" w:rsidRPr="006802F3" w14:paraId="05CFE701" w14:textId="77777777" w:rsidTr="009473C4">
        <w:trPr>
          <w:trHeight w:val="208"/>
        </w:trPr>
        <w:tc>
          <w:tcPr>
            <w:tcW w:w="2126" w:type="dxa"/>
            <w:vMerge/>
          </w:tcPr>
          <w:p w14:paraId="3E5ADEC9" w14:textId="77777777" w:rsidR="000674F4" w:rsidRPr="004F0329" w:rsidRDefault="000674F4" w:rsidP="00C6449A">
            <w:pPr>
              <w:spacing w:after="0"/>
              <w:rPr>
                <w:rFonts w:ascii="Times New Roman" w:hAnsi="Times New Roman"/>
                <w:b/>
                <w:sz w:val="24"/>
                <w:szCs w:val="24"/>
              </w:rPr>
            </w:pPr>
          </w:p>
        </w:tc>
        <w:tc>
          <w:tcPr>
            <w:tcW w:w="6667" w:type="dxa"/>
            <w:gridSpan w:val="4"/>
          </w:tcPr>
          <w:p w14:paraId="3F21914C" w14:textId="77777777" w:rsidR="000674F4" w:rsidRPr="006802F3" w:rsidRDefault="000674F4" w:rsidP="00317E7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tab/>
            </w:r>
            <w:r>
              <w:rPr>
                <w:rFonts w:ascii="Times New Roman" w:hAnsi="Times New Roman"/>
                <w:b/>
              </w:rPr>
              <w:t>Zajam / povratni predujmovi</w:t>
            </w:r>
          </w:p>
        </w:tc>
      </w:tr>
      <w:tr w:rsidR="000674F4" w:rsidRPr="006802F3" w14:paraId="6B793E84" w14:textId="77777777" w:rsidTr="009473C4">
        <w:trPr>
          <w:trHeight w:val="208"/>
        </w:trPr>
        <w:tc>
          <w:tcPr>
            <w:tcW w:w="2126" w:type="dxa"/>
            <w:vMerge/>
          </w:tcPr>
          <w:p w14:paraId="13DDD567" w14:textId="77777777" w:rsidR="000674F4" w:rsidRPr="004F0329" w:rsidRDefault="000674F4" w:rsidP="00C6449A">
            <w:pPr>
              <w:spacing w:after="0"/>
              <w:rPr>
                <w:rFonts w:ascii="Times New Roman" w:hAnsi="Times New Roman"/>
                <w:b/>
                <w:sz w:val="24"/>
                <w:szCs w:val="24"/>
              </w:rPr>
            </w:pPr>
          </w:p>
        </w:tc>
        <w:tc>
          <w:tcPr>
            <w:tcW w:w="6667" w:type="dxa"/>
            <w:gridSpan w:val="4"/>
          </w:tcPr>
          <w:p w14:paraId="40508132" w14:textId="77777777" w:rsidR="000674F4" w:rsidRPr="006802F3" w:rsidRDefault="000674F4" w:rsidP="00317E7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tab/>
            </w:r>
            <w:r>
              <w:rPr>
                <w:rFonts w:ascii="Times New Roman" w:hAnsi="Times New Roman"/>
                <w:b/>
              </w:rPr>
              <w:t>Jamstvo (prema potrebi s upućivanjem na odluku Komisije</w:t>
            </w:r>
            <w:r>
              <w:rPr>
                <w:rStyle w:val="Referencafusnote"/>
                <w:rFonts w:ascii="Times New Roman" w:hAnsi="Times New Roman"/>
                <w:b/>
              </w:rPr>
              <w:footnoteReference w:id="10"/>
            </w:r>
            <w:r>
              <w:rPr>
                <w:rFonts w:ascii="Times New Roman" w:hAnsi="Times New Roman"/>
                <w:b/>
              </w:rPr>
              <w:t xml:space="preserve">) </w:t>
            </w:r>
          </w:p>
        </w:tc>
      </w:tr>
      <w:tr w:rsidR="000674F4" w:rsidRPr="006802F3" w14:paraId="7FA5B63D" w14:textId="77777777" w:rsidTr="009473C4">
        <w:trPr>
          <w:trHeight w:val="208"/>
        </w:trPr>
        <w:tc>
          <w:tcPr>
            <w:tcW w:w="2126" w:type="dxa"/>
            <w:vMerge/>
          </w:tcPr>
          <w:p w14:paraId="2560489D" w14:textId="77777777" w:rsidR="000674F4" w:rsidRPr="004F0329" w:rsidRDefault="000674F4" w:rsidP="00C6449A">
            <w:pPr>
              <w:spacing w:after="0"/>
              <w:rPr>
                <w:rFonts w:ascii="Times New Roman" w:hAnsi="Times New Roman"/>
                <w:b/>
                <w:sz w:val="24"/>
                <w:szCs w:val="24"/>
              </w:rPr>
            </w:pPr>
          </w:p>
        </w:tc>
        <w:tc>
          <w:tcPr>
            <w:tcW w:w="6667" w:type="dxa"/>
            <w:gridSpan w:val="4"/>
          </w:tcPr>
          <w:p w14:paraId="79CE6FD8" w14:textId="77777777" w:rsidR="000674F4" w:rsidRPr="006802F3" w:rsidRDefault="000674F4" w:rsidP="00317E7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tab/>
            </w:r>
            <w:r>
              <w:rPr>
                <w:rFonts w:ascii="Times New Roman" w:hAnsi="Times New Roman"/>
                <w:b/>
              </w:rPr>
              <w:t xml:space="preserve">Porezna pogodnost ili porezno izuzeće </w:t>
            </w:r>
          </w:p>
        </w:tc>
      </w:tr>
      <w:tr w:rsidR="000674F4" w:rsidRPr="006802F3" w14:paraId="112E1034" w14:textId="77777777" w:rsidTr="009473C4">
        <w:trPr>
          <w:trHeight w:val="208"/>
        </w:trPr>
        <w:tc>
          <w:tcPr>
            <w:tcW w:w="2126" w:type="dxa"/>
            <w:vMerge/>
          </w:tcPr>
          <w:p w14:paraId="134D3D45" w14:textId="77777777" w:rsidR="000674F4" w:rsidRPr="004F0329" w:rsidRDefault="000674F4" w:rsidP="00C6449A">
            <w:pPr>
              <w:spacing w:after="0"/>
              <w:rPr>
                <w:rFonts w:ascii="Times New Roman" w:hAnsi="Times New Roman"/>
                <w:b/>
                <w:sz w:val="24"/>
                <w:szCs w:val="24"/>
              </w:rPr>
            </w:pPr>
          </w:p>
        </w:tc>
        <w:tc>
          <w:tcPr>
            <w:tcW w:w="6667" w:type="dxa"/>
            <w:gridSpan w:val="4"/>
          </w:tcPr>
          <w:p w14:paraId="15344454" w14:textId="77777777" w:rsidR="000674F4" w:rsidRPr="006802F3" w:rsidRDefault="000674F4" w:rsidP="00317E7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tab/>
            </w:r>
            <w:r>
              <w:rPr>
                <w:rFonts w:ascii="Times New Roman" w:hAnsi="Times New Roman"/>
                <w:b/>
              </w:rPr>
              <w:t xml:space="preserve">Pružanje rizičnog financiranja </w:t>
            </w:r>
          </w:p>
        </w:tc>
      </w:tr>
      <w:tr w:rsidR="000674F4" w:rsidRPr="006802F3" w14:paraId="633D0097" w14:textId="77777777" w:rsidTr="009473C4">
        <w:trPr>
          <w:trHeight w:val="460"/>
        </w:trPr>
        <w:tc>
          <w:tcPr>
            <w:tcW w:w="2126" w:type="dxa"/>
            <w:vMerge/>
          </w:tcPr>
          <w:p w14:paraId="2F304B85" w14:textId="77777777" w:rsidR="000674F4" w:rsidRPr="004F0329" w:rsidRDefault="000674F4" w:rsidP="00C6449A">
            <w:pPr>
              <w:spacing w:after="0"/>
              <w:rPr>
                <w:rFonts w:ascii="Times New Roman" w:hAnsi="Times New Roman"/>
                <w:b/>
                <w:snapToGrid w:val="0"/>
                <w:sz w:val="24"/>
                <w:szCs w:val="24"/>
              </w:rPr>
            </w:pPr>
          </w:p>
        </w:tc>
        <w:tc>
          <w:tcPr>
            <w:tcW w:w="6667" w:type="dxa"/>
            <w:gridSpan w:val="4"/>
          </w:tcPr>
          <w:p w14:paraId="6ACE02BB" w14:textId="77777777" w:rsidR="000674F4" w:rsidRDefault="000674F4" w:rsidP="00317E7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tab/>
            </w:r>
            <w:r>
              <w:rPr>
                <w:rFonts w:ascii="Times New Roman" w:hAnsi="Times New Roman"/>
                <w:b/>
              </w:rPr>
              <w:t>Ostalo (navedite)</w:t>
            </w:r>
            <w:r>
              <w:rPr>
                <w:rFonts w:ascii="Times New Roman" w:hAnsi="Times New Roman"/>
                <w:b/>
              </w:rPr>
              <w:br/>
            </w:r>
            <w:r>
              <w:rPr>
                <w:rFonts w:ascii="Times New Roman" w:hAnsi="Times New Roman"/>
              </w:rPr>
              <w:t>………………………………………………..</w:t>
            </w:r>
            <w:r>
              <w:rPr>
                <w:rFonts w:ascii="Times New Roman" w:hAnsi="Times New Roman"/>
                <w:b/>
              </w:rPr>
              <w:t xml:space="preserve"> </w:t>
            </w:r>
          </w:p>
          <w:p w14:paraId="7C4BC2D4" w14:textId="77777777" w:rsidR="00982BC3" w:rsidRDefault="00982BC3" w:rsidP="00982BC3">
            <w:pPr>
              <w:spacing w:after="0"/>
              <w:ind w:left="426"/>
              <w:rPr>
                <w:rFonts w:ascii="Times New Roman" w:hAnsi="Times New Roman"/>
                <w:b/>
              </w:rPr>
            </w:pPr>
            <w:r>
              <w:rPr>
                <w:rFonts w:ascii="Times New Roman" w:hAnsi="Times New Roman"/>
                <w:b/>
              </w:rPr>
              <w:t>Navesti kojoj bi općenitoj kategoriji u nastavku najbolje odgovarao s obzirom na učinak/funkciju</w:t>
            </w:r>
          </w:p>
          <w:p w14:paraId="017E4BCF" w14:textId="77777777" w:rsidR="00982BC3" w:rsidRDefault="00982BC3" w:rsidP="00982BC3">
            <w:pPr>
              <w:spacing w:after="0"/>
              <w:ind w:left="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Bespovratno sredstvo</w:t>
            </w:r>
          </w:p>
          <w:p w14:paraId="652F035D" w14:textId="77777777" w:rsidR="00982BC3" w:rsidRDefault="00982BC3" w:rsidP="00982BC3">
            <w:pPr>
              <w:spacing w:after="0"/>
              <w:ind w:left="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Zajam</w:t>
            </w:r>
          </w:p>
          <w:p w14:paraId="57A0E558" w14:textId="77777777" w:rsidR="00982BC3" w:rsidRDefault="00982BC3" w:rsidP="00982BC3">
            <w:pPr>
              <w:spacing w:after="0"/>
              <w:ind w:left="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Jamstvo</w:t>
            </w:r>
          </w:p>
          <w:p w14:paraId="528B4F1D" w14:textId="77777777" w:rsidR="00982BC3" w:rsidRDefault="00982BC3" w:rsidP="00982BC3">
            <w:pPr>
              <w:spacing w:after="0"/>
              <w:ind w:left="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Porezna pogodnost</w:t>
            </w:r>
          </w:p>
          <w:p w14:paraId="4566E5D3" w14:textId="36D566E5" w:rsidR="00982BC3" w:rsidRDefault="00982BC3" w:rsidP="00C353F2">
            <w:pPr>
              <w:spacing w:after="0"/>
              <w:ind w:left="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111F98">
              <w:fldChar w:fldCharType="separate"/>
            </w:r>
            <w:r w:rsidRPr="009B136D">
              <w:fldChar w:fldCharType="end"/>
            </w:r>
            <w:r>
              <w:t xml:space="preserve"> </w:t>
            </w:r>
            <w:r>
              <w:rPr>
                <w:rFonts w:ascii="Times New Roman" w:hAnsi="Times New Roman"/>
                <w:b/>
              </w:rPr>
              <w:t>Pružanje rizičnog financiranja</w:t>
            </w:r>
          </w:p>
          <w:p w14:paraId="178BA4C6" w14:textId="77777777" w:rsidR="00982BC3" w:rsidRPr="006802F3" w:rsidRDefault="00982BC3" w:rsidP="00982BC3">
            <w:pPr>
              <w:spacing w:after="0"/>
              <w:ind w:left="426" w:hanging="426"/>
              <w:rPr>
                <w:rFonts w:ascii="Times New Roman" w:hAnsi="Times New Roman"/>
                <w:b/>
              </w:rPr>
            </w:pPr>
          </w:p>
        </w:tc>
      </w:tr>
      <w:tr w:rsidR="006802F3" w:rsidRPr="006802F3" w14:paraId="14C82139" w14:textId="77777777" w:rsidTr="00317E7D">
        <w:trPr>
          <w:trHeight w:val="460"/>
        </w:trPr>
        <w:tc>
          <w:tcPr>
            <w:tcW w:w="2126" w:type="dxa"/>
          </w:tcPr>
          <w:p w14:paraId="364C97B1" w14:textId="77777777" w:rsidR="006802F3" w:rsidRPr="004F0329" w:rsidRDefault="000674F4" w:rsidP="00317E7D">
            <w:pPr>
              <w:spacing w:after="0"/>
              <w:ind w:left="426" w:hanging="426"/>
              <w:rPr>
                <w:rFonts w:ascii="Times New Roman" w:hAnsi="Times New Roman"/>
                <w:b/>
                <w:bCs/>
                <w:snapToGrid w:val="0"/>
                <w:sz w:val="24"/>
                <w:szCs w:val="24"/>
              </w:rPr>
            </w:pPr>
            <w:r w:rsidRPr="004F0329">
              <w:rPr>
                <w:sz w:val="24"/>
                <w:szCs w:val="24"/>
              </w:rPr>
              <w:fldChar w:fldCharType="begin" w:fldLock="1">
                <w:ffData>
                  <w:name w:val="Check1"/>
                  <w:enabled/>
                  <w:calcOnExit w:val="0"/>
                  <w:checkBox>
                    <w:sizeAuto/>
                    <w:default w:val="0"/>
                  </w:checkBox>
                </w:ffData>
              </w:fldChar>
            </w:r>
            <w:r w:rsidRPr="004F0329">
              <w:rPr>
                <w:sz w:val="24"/>
                <w:szCs w:val="24"/>
              </w:rPr>
              <w:instrText xml:space="preserve"> FORMCHECKBOX </w:instrText>
            </w:r>
            <w:r w:rsidR="00111F98">
              <w:rPr>
                <w:sz w:val="24"/>
                <w:szCs w:val="24"/>
              </w:rPr>
            </w:r>
            <w:r w:rsidR="00111F98">
              <w:rPr>
                <w:sz w:val="24"/>
                <w:szCs w:val="24"/>
              </w:rPr>
              <w:fldChar w:fldCharType="separate"/>
            </w:r>
            <w:r w:rsidRPr="004F0329">
              <w:rPr>
                <w:sz w:val="24"/>
                <w:szCs w:val="24"/>
              </w:rPr>
              <w:fldChar w:fldCharType="end"/>
            </w:r>
            <w:r w:rsidRPr="004F0329">
              <w:rPr>
                <w:sz w:val="24"/>
                <w:szCs w:val="24"/>
              </w:rPr>
              <w:t xml:space="preserve"> </w:t>
            </w:r>
            <w:r w:rsidRPr="004F0329">
              <w:rPr>
                <w:sz w:val="24"/>
                <w:szCs w:val="24"/>
              </w:rPr>
              <w:tab/>
            </w:r>
            <w:r w:rsidRPr="004F0329">
              <w:rPr>
                <w:rFonts w:ascii="Times New Roman" w:hAnsi="Times New Roman"/>
                <w:b/>
                <w:snapToGrid w:val="0"/>
                <w:sz w:val="24"/>
                <w:szCs w:val="24"/>
              </w:rPr>
              <w:t xml:space="preserve">Ako su sufinancirana iz fondova EU-a </w:t>
            </w:r>
          </w:p>
        </w:tc>
        <w:tc>
          <w:tcPr>
            <w:tcW w:w="2944" w:type="dxa"/>
            <w:gridSpan w:val="2"/>
          </w:tcPr>
          <w:p w14:paraId="33643E4A" w14:textId="77777777" w:rsidR="00746590" w:rsidRDefault="006802F3" w:rsidP="006101FC">
            <w:pPr>
              <w:spacing w:after="0"/>
              <w:rPr>
                <w:rFonts w:ascii="Times New Roman" w:hAnsi="Times New Roman"/>
                <w:b/>
                <w:snapToGrid w:val="0"/>
              </w:rPr>
            </w:pPr>
            <w:r>
              <w:rPr>
                <w:rFonts w:ascii="Times New Roman" w:hAnsi="Times New Roman"/>
                <w:b/>
                <w:snapToGrid w:val="0"/>
              </w:rPr>
              <w:t xml:space="preserve">Naziv fonda/fondova EU-a: </w:t>
            </w:r>
          </w:p>
          <w:p w14:paraId="27B66052" w14:textId="77777777" w:rsidR="00746590" w:rsidRDefault="00746590" w:rsidP="00996BFF">
            <w:pPr>
              <w:spacing w:after="0"/>
              <w:rPr>
                <w:rFonts w:ascii="Times New Roman" w:hAnsi="Times New Roman"/>
                <w:b/>
                <w:snapToGrid w:val="0"/>
              </w:rPr>
            </w:pPr>
          </w:p>
          <w:p w14:paraId="1A99EF8D" w14:textId="77777777" w:rsidR="00746590" w:rsidRDefault="00746590" w:rsidP="00996BFF">
            <w:pPr>
              <w:spacing w:after="0"/>
              <w:rPr>
                <w:rFonts w:ascii="Times New Roman" w:hAnsi="Times New Roman"/>
                <w:b/>
                <w:snapToGrid w:val="0"/>
              </w:rPr>
            </w:pPr>
          </w:p>
          <w:p w14:paraId="1E87ABD2" w14:textId="77777777" w:rsidR="006802F3" w:rsidRPr="006101FC" w:rsidRDefault="000674F4" w:rsidP="00FF34C5">
            <w:pPr>
              <w:spacing w:after="0"/>
              <w:rPr>
                <w:rFonts w:ascii="Times New Roman" w:hAnsi="Times New Roman"/>
              </w:rPr>
            </w:pPr>
            <w:r>
              <w:rPr>
                <w:rFonts w:ascii="Times New Roman" w:hAnsi="Times New Roman"/>
                <w:snapToGrid w:val="0"/>
              </w:rPr>
              <w:t>…………………………..</w:t>
            </w:r>
            <w:r>
              <w:rPr>
                <w:rFonts w:ascii="Times New Roman" w:hAnsi="Times New Roman"/>
                <w:snapToGrid w:val="0"/>
              </w:rPr>
              <w:br/>
              <w:t>…………………………..</w:t>
            </w:r>
          </w:p>
        </w:tc>
        <w:tc>
          <w:tcPr>
            <w:tcW w:w="1881" w:type="dxa"/>
          </w:tcPr>
          <w:p w14:paraId="55D76896" w14:textId="77777777" w:rsidR="006802F3" w:rsidRDefault="006802F3" w:rsidP="00C6449A">
            <w:pPr>
              <w:spacing w:after="0"/>
              <w:rPr>
                <w:rFonts w:ascii="Times New Roman" w:hAnsi="Times New Roman"/>
              </w:rPr>
            </w:pPr>
            <w:r>
              <w:rPr>
                <w:rFonts w:ascii="Times New Roman" w:hAnsi="Times New Roman"/>
                <w:b/>
              </w:rPr>
              <w:t>Iznos financiranja</w:t>
            </w:r>
            <w:r>
              <w:rPr>
                <w:rFonts w:ascii="Times New Roman" w:hAnsi="Times New Roman"/>
                <w:b/>
              </w:rPr>
              <w:br/>
              <w:t>(po fondu EU-a)</w:t>
            </w:r>
            <w:r>
              <w:rPr>
                <w:rFonts w:ascii="Times New Roman" w:hAnsi="Times New Roman"/>
                <w:b/>
              </w:rPr>
              <w:br/>
            </w:r>
            <w:r>
              <w:rPr>
                <w:rFonts w:ascii="Times New Roman" w:hAnsi="Times New Roman"/>
              </w:rPr>
              <w:t>…………………</w:t>
            </w:r>
          </w:p>
          <w:p w14:paraId="43D41F67" w14:textId="77777777" w:rsidR="000674F4" w:rsidRPr="00317E7D" w:rsidRDefault="000674F4" w:rsidP="00C6449A">
            <w:pPr>
              <w:spacing w:after="0"/>
              <w:rPr>
                <w:rFonts w:ascii="Times New Roman" w:hAnsi="Times New Roman"/>
                <w:bCs/>
              </w:rPr>
            </w:pPr>
            <w:r>
              <w:rPr>
                <w:rFonts w:ascii="Times New Roman" w:hAnsi="Times New Roman"/>
              </w:rPr>
              <w:t>…………………</w:t>
            </w:r>
          </w:p>
        </w:tc>
        <w:tc>
          <w:tcPr>
            <w:tcW w:w="1842" w:type="dxa"/>
          </w:tcPr>
          <w:p w14:paraId="3BC59540" w14:textId="77777777" w:rsidR="000674F4" w:rsidRDefault="006802F3" w:rsidP="00C6449A">
            <w:pPr>
              <w:spacing w:after="0"/>
              <w:rPr>
                <w:rFonts w:ascii="Times New Roman" w:hAnsi="Times New Roman"/>
                <w:b/>
              </w:rPr>
            </w:pPr>
            <w:r>
              <w:rPr>
                <w:rFonts w:ascii="Times New Roman" w:hAnsi="Times New Roman"/>
                <w:b/>
              </w:rPr>
              <w:t>Nacionalna valuta ... (puni iznosi)</w:t>
            </w:r>
          </w:p>
          <w:p w14:paraId="25FB8222" w14:textId="77777777" w:rsidR="000674F4" w:rsidRDefault="000674F4" w:rsidP="00C6449A">
            <w:pPr>
              <w:spacing w:after="0"/>
              <w:rPr>
                <w:rFonts w:ascii="Times New Roman" w:hAnsi="Times New Roman"/>
              </w:rPr>
            </w:pPr>
            <w:r>
              <w:rPr>
                <w:rFonts w:ascii="Times New Roman" w:hAnsi="Times New Roman"/>
              </w:rPr>
              <w:t>…………………</w:t>
            </w:r>
          </w:p>
          <w:p w14:paraId="3CBC0993" w14:textId="77777777" w:rsidR="006802F3" w:rsidRPr="006802F3" w:rsidRDefault="00746590" w:rsidP="006101FC">
            <w:pPr>
              <w:spacing w:after="0"/>
              <w:rPr>
                <w:rFonts w:ascii="Times New Roman" w:hAnsi="Times New Roman"/>
                <w:b/>
                <w:bCs/>
              </w:rPr>
            </w:pPr>
            <w:r>
              <w:rPr>
                <w:rFonts w:ascii="Times New Roman" w:hAnsi="Times New Roman"/>
              </w:rPr>
              <w:t>…………………</w:t>
            </w:r>
          </w:p>
        </w:tc>
      </w:tr>
    </w:tbl>
    <w:p w14:paraId="5CAF52DC" w14:textId="77777777" w:rsidR="006802F3" w:rsidRPr="006802F3" w:rsidRDefault="006802F3" w:rsidP="006802F3">
      <w:pPr>
        <w:spacing w:after="0"/>
        <w:jc w:val="center"/>
        <w:rPr>
          <w:rFonts w:ascii="Times New Roman" w:hAnsi="Times New Roman"/>
          <w:b/>
          <w:bCs/>
          <w:smallCaps/>
        </w:rPr>
        <w:sectPr w:rsidR="006802F3" w:rsidRPr="006802F3" w:rsidSect="00C6449A">
          <w:footnotePr>
            <w:numRestart w:val="eachSect"/>
          </w:footnotePr>
          <w:pgSz w:w="11906" w:h="16838"/>
          <w:pgMar w:top="1417" w:right="1417" w:bottom="1417" w:left="1417" w:header="708" w:footer="708" w:gutter="0"/>
          <w:cols w:space="708"/>
          <w:docGrid w:linePitch="360"/>
        </w:sectPr>
      </w:pPr>
    </w:p>
    <w:p w14:paraId="50742808" w14:textId="77777777" w:rsidR="004F0329" w:rsidRPr="004F0329" w:rsidRDefault="004F0329" w:rsidP="004F0329">
      <w:pPr>
        <w:spacing w:before="120" w:after="480" w:line="240" w:lineRule="auto"/>
        <w:jc w:val="center"/>
        <w:rPr>
          <w:rFonts w:ascii="Times New Roman" w:eastAsia="Times New Roman" w:hAnsi="Times New Roman"/>
          <w:bCs/>
          <w:noProof/>
          <w:sz w:val="24"/>
          <w:szCs w:val="24"/>
          <w:lang w:val="en-GB" w:eastAsia="en-US" w:bidi="ar-SA"/>
        </w:rPr>
      </w:pPr>
      <w:r w:rsidRPr="004F0329">
        <w:rPr>
          <w:rFonts w:ascii="Times New Roman" w:eastAsia="Times New Roman" w:hAnsi="Times New Roman"/>
          <w:b/>
          <w:noProof/>
          <w:sz w:val="24"/>
          <w:szCs w:val="24"/>
          <w:lang w:val="en-GB" w:eastAsia="en-US" w:bidi="ar-SA"/>
        </w:rPr>
        <w:lastRenderedPageBreak/>
        <w:t>DIO II.</w:t>
      </w:r>
    </w:p>
    <w:p w14:paraId="1330950C" w14:textId="77777777" w:rsidR="004F0329" w:rsidRPr="004F0329" w:rsidRDefault="004F0329" w:rsidP="004F0329">
      <w:pPr>
        <w:spacing w:before="120" w:after="480" w:line="240" w:lineRule="auto"/>
        <w:jc w:val="center"/>
        <w:rPr>
          <w:rFonts w:ascii="Times New Roman" w:eastAsia="Times New Roman" w:hAnsi="Times New Roman"/>
          <w:b/>
          <w:bCs/>
          <w:smallCaps/>
          <w:noProof/>
          <w:sz w:val="24"/>
          <w:szCs w:val="24"/>
          <w:lang w:val="en-GB" w:eastAsia="en-US" w:bidi="ar-SA"/>
        </w:rPr>
      </w:pPr>
      <w:r w:rsidRPr="004F0329">
        <w:rPr>
          <w:rFonts w:ascii="Times New Roman" w:eastAsia="Times New Roman" w:hAnsi="Times New Roman"/>
          <w:b/>
          <w:noProof/>
          <w:sz w:val="24"/>
          <w:szCs w:val="24"/>
          <w:lang w:val="en-GB" w:eastAsia="en-US" w:bidi="ar-SA"/>
        </w:rPr>
        <w:t>koji se dostavlja kroz uspostavljeni Komisijin elektronički sustav za podnošenje prijava kako je utvrđeno u članku 11.</w:t>
      </w:r>
    </w:p>
    <w:p w14:paraId="49D2B48A"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Navedite na temelju koje se odredbe Uredbe o općem skupnom izuzeću provodi mjera potpore.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90"/>
        <w:gridCol w:w="3060"/>
        <w:gridCol w:w="1420"/>
        <w:gridCol w:w="20"/>
        <w:gridCol w:w="1080"/>
      </w:tblGrid>
      <w:tr w:rsidR="004F0329" w:rsidRPr="004F0329" w14:paraId="6F0C8FD6" w14:textId="77777777" w:rsidTr="006925EA">
        <w:trPr>
          <w:trHeight w:val="2485"/>
        </w:trPr>
        <w:tc>
          <w:tcPr>
            <w:tcW w:w="2518" w:type="dxa"/>
          </w:tcPr>
          <w:p w14:paraId="33650167"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fr-BE" w:eastAsia="en-US" w:bidi="ar-SA"/>
              </w:rPr>
            </w:pPr>
            <w:r w:rsidRPr="004F0329">
              <w:rPr>
                <w:rFonts w:ascii="Times New Roman" w:eastAsia="Times New Roman" w:hAnsi="Times New Roman"/>
                <w:b/>
                <w:noProof/>
                <w:sz w:val="24"/>
                <w:szCs w:val="24"/>
                <w:lang w:val="fr-BE" w:eastAsia="en-US" w:bidi="ar-SA"/>
              </w:rPr>
              <w:t>Primarni cilj – Opći ciljevi (</w:t>
            </w:r>
            <w:r w:rsidRPr="004F0329">
              <w:rPr>
                <w:rFonts w:ascii="Times New Roman" w:eastAsia="Times New Roman" w:hAnsi="Times New Roman"/>
                <w:noProof/>
                <w:sz w:val="24"/>
                <w:szCs w:val="24"/>
                <w:lang w:val="fr-BE" w:eastAsia="en-US" w:bidi="ar-SA"/>
              </w:rPr>
              <w:t>popis)</w:t>
            </w:r>
          </w:p>
        </w:tc>
        <w:tc>
          <w:tcPr>
            <w:tcW w:w="4250" w:type="dxa"/>
            <w:gridSpan w:val="2"/>
          </w:tcPr>
          <w:p w14:paraId="44F39C24"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b/>
                <w:noProof/>
                <w:sz w:val="24"/>
                <w:szCs w:val="24"/>
                <w:lang w:val="en-GB" w:eastAsia="en-US" w:bidi="ar-SA"/>
              </w:rPr>
              <w:t>Ciljevi</w:t>
            </w:r>
          </w:p>
          <w:p w14:paraId="50B9F51B"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(popis)</w:t>
            </w:r>
          </w:p>
        </w:tc>
        <w:tc>
          <w:tcPr>
            <w:tcW w:w="1440" w:type="dxa"/>
            <w:gridSpan w:val="2"/>
          </w:tcPr>
          <w:p w14:paraId="08FCF975"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b/>
                <w:noProof/>
                <w:sz w:val="24"/>
                <w:szCs w:val="24"/>
                <w:lang w:val="en-GB" w:eastAsia="en-US" w:bidi="ar-SA"/>
              </w:rPr>
              <w:t>Maksimalni intenzitet potpore u %</w:t>
            </w:r>
          </w:p>
          <w:p w14:paraId="6BFABF83"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b/>
                <w:noProof/>
                <w:sz w:val="24"/>
                <w:szCs w:val="24"/>
                <w:lang w:val="en-GB" w:eastAsia="en-US" w:bidi="ar-SA"/>
              </w:rPr>
              <w:t>ili maksimalni godišnji iznos potpore u nacionalnoj valuti (u punim iznosima)</w:t>
            </w:r>
          </w:p>
        </w:tc>
        <w:tc>
          <w:tcPr>
            <w:tcW w:w="1080" w:type="dxa"/>
          </w:tcPr>
          <w:p w14:paraId="0D9205C5" w14:textId="77777777" w:rsidR="004F0329" w:rsidRPr="004F0329" w:rsidRDefault="004F0329" w:rsidP="004F0329">
            <w:pPr>
              <w:spacing w:before="120" w:after="0" w:line="240" w:lineRule="auto"/>
              <w:jc w:val="center"/>
              <w:rPr>
                <w:rFonts w:ascii="Times New Roman" w:eastAsia="Times New Roman" w:hAnsi="Times New Roman"/>
                <w:b/>
                <w:bCs/>
                <w:noProof/>
                <w:sz w:val="24"/>
                <w:szCs w:val="24"/>
                <w:lang w:val="fr-BE" w:eastAsia="en-US" w:bidi="ar-SA"/>
              </w:rPr>
            </w:pPr>
            <w:r w:rsidRPr="004F0329">
              <w:rPr>
                <w:rFonts w:ascii="Times New Roman" w:eastAsia="Times New Roman" w:hAnsi="Times New Roman"/>
                <w:b/>
                <w:noProof/>
                <w:sz w:val="24"/>
                <w:szCs w:val="24"/>
                <w:lang w:val="fr-BE" w:eastAsia="en-US" w:bidi="ar-SA"/>
              </w:rPr>
              <w:t xml:space="preserve">MSP – bonusi (ako je primjenjivo) </w:t>
            </w:r>
          </w:p>
          <w:p w14:paraId="35F40FBD" w14:textId="77777777" w:rsidR="004F0329" w:rsidRPr="004F0329" w:rsidRDefault="004F0329" w:rsidP="004F0329">
            <w:pPr>
              <w:spacing w:before="120" w:after="0" w:line="240" w:lineRule="auto"/>
              <w:jc w:val="center"/>
              <w:rPr>
                <w:rFonts w:ascii="Times New Roman" w:eastAsia="Times New Roman" w:hAnsi="Times New Roman"/>
                <w:b/>
                <w:bCs/>
                <w:noProof/>
                <w:sz w:val="24"/>
                <w:szCs w:val="24"/>
                <w:lang w:val="en-GB" w:eastAsia="en-US" w:bidi="ar-SA"/>
              </w:rPr>
            </w:pPr>
            <w:r w:rsidRPr="004F0329">
              <w:rPr>
                <w:rFonts w:ascii="Times New Roman" w:eastAsia="Times New Roman" w:hAnsi="Times New Roman"/>
                <w:b/>
                <w:noProof/>
                <w:sz w:val="24"/>
                <w:szCs w:val="24"/>
                <w:lang w:val="en-GB" w:eastAsia="en-US" w:bidi="ar-SA"/>
              </w:rPr>
              <w:t>u %</w:t>
            </w:r>
          </w:p>
        </w:tc>
      </w:tr>
      <w:tr w:rsidR="004F0329" w:rsidRPr="004F0329" w14:paraId="41FD4F43" w14:textId="77777777" w:rsidTr="006925EA">
        <w:trPr>
          <w:trHeight w:val="469"/>
        </w:trPr>
        <w:tc>
          <w:tcPr>
            <w:tcW w:w="2518" w:type="dxa"/>
            <w:vMerge w:val="restart"/>
          </w:tcPr>
          <w:p w14:paraId="4FF6FE33"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ab/>
              <w:t>Regionalne potpore – potpore za ulaganje</w:t>
            </w:r>
            <w:r w:rsidRPr="004F0329">
              <w:rPr>
                <w:rFonts w:ascii="Times New Roman" w:eastAsia="Times New Roman" w:hAnsi="Times New Roman"/>
                <w:noProof/>
                <w:sz w:val="24"/>
                <w:szCs w:val="24"/>
                <w:vertAlign w:val="superscript"/>
                <w:lang w:val="en-GB" w:eastAsia="en-US" w:bidi="ar-SA"/>
              </w:rPr>
              <w:footnoteReference w:id="11"/>
            </w:r>
            <w:r w:rsidRPr="004F0329">
              <w:rPr>
                <w:rFonts w:ascii="Times New Roman" w:eastAsia="Times New Roman" w:hAnsi="Times New Roman"/>
                <w:noProof/>
                <w:sz w:val="24"/>
                <w:szCs w:val="24"/>
                <w:lang w:val="en-GB" w:eastAsia="en-US" w:bidi="ar-SA"/>
              </w:rPr>
              <w:t xml:space="preserve"> (čl. 14.) </w:t>
            </w:r>
          </w:p>
        </w:tc>
        <w:tc>
          <w:tcPr>
            <w:tcW w:w="4250" w:type="dxa"/>
            <w:gridSpan w:val="2"/>
          </w:tcPr>
          <w:p w14:paraId="5182D54D" w14:textId="77777777" w:rsidR="004F0329" w:rsidRPr="004F0329" w:rsidRDefault="004F0329" w:rsidP="004F0329">
            <w:pPr>
              <w:spacing w:before="120" w:after="0" w:line="240" w:lineRule="auto"/>
              <w:ind w:left="459" w:hanging="425"/>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ab/>
              <w:t>Program</w:t>
            </w:r>
          </w:p>
        </w:tc>
        <w:tc>
          <w:tcPr>
            <w:tcW w:w="1440" w:type="dxa"/>
            <w:gridSpan w:val="2"/>
          </w:tcPr>
          <w:p w14:paraId="233DBE9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12C59BF9"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FA87200" w14:textId="77777777" w:rsidTr="006925EA">
        <w:trPr>
          <w:trHeight w:val="469"/>
        </w:trPr>
        <w:tc>
          <w:tcPr>
            <w:tcW w:w="2518" w:type="dxa"/>
            <w:vMerge/>
          </w:tcPr>
          <w:p w14:paraId="2DD692D6" w14:textId="77777777" w:rsidR="004F0329" w:rsidRPr="004F0329" w:rsidRDefault="004F0329" w:rsidP="004F0329">
            <w:pPr>
              <w:spacing w:before="120" w:after="0" w:line="240" w:lineRule="auto"/>
              <w:ind w:left="426" w:hanging="426"/>
              <w:jc w:val="both"/>
              <w:rPr>
                <w:rFonts w:ascii="Times New Roman" w:eastAsia="Times New Roman" w:hAnsi="Times New Roman"/>
                <w:bCs/>
                <w:noProof/>
                <w:sz w:val="24"/>
                <w:szCs w:val="24"/>
                <w:lang w:val="en-GB" w:eastAsia="en-US" w:bidi="ar-SA"/>
              </w:rPr>
            </w:pPr>
          </w:p>
        </w:tc>
        <w:tc>
          <w:tcPr>
            <w:tcW w:w="4250" w:type="dxa"/>
            <w:gridSpan w:val="2"/>
          </w:tcPr>
          <w:p w14:paraId="1BCBD8E3" w14:textId="77777777" w:rsidR="004F0329" w:rsidRPr="004F0329" w:rsidRDefault="004F0329" w:rsidP="004F0329">
            <w:pPr>
              <w:spacing w:before="120" w:after="0" w:line="240" w:lineRule="auto"/>
              <w:ind w:left="459" w:hanging="425"/>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ab/>
              <w:t>Jednokratna potpora</w:t>
            </w:r>
          </w:p>
        </w:tc>
        <w:tc>
          <w:tcPr>
            <w:tcW w:w="1440" w:type="dxa"/>
            <w:gridSpan w:val="2"/>
          </w:tcPr>
          <w:p w14:paraId="764C3854"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6519F3BC"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786A1243" w14:textId="77777777" w:rsidTr="006925EA">
        <w:trPr>
          <w:trHeight w:val="672"/>
        </w:trPr>
        <w:tc>
          <w:tcPr>
            <w:tcW w:w="2518" w:type="dxa"/>
            <w:vMerge w:val="restart"/>
          </w:tcPr>
          <w:p w14:paraId="6C2A49C2"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ab/>
              <w:t>Regionalne potpore – operativne potpore (čl. 15.)</w:t>
            </w:r>
          </w:p>
        </w:tc>
        <w:tc>
          <w:tcPr>
            <w:tcW w:w="4250" w:type="dxa"/>
            <w:gridSpan w:val="2"/>
          </w:tcPr>
          <w:p w14:paraId="2D5C7690" w14:textId="77777777" w:rsidR="004F0329" w:rsidRPr="004F0329" w:rsidRDefault="004F0329" w:rsidP="004F0329">
            <w:pPr>
              <w:spacing w:before="120" w:after="0" w:line="240" w:lineRule="auto"/>
              <w:ind w:left="459" w:hanging="425"/>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ab/>
              <w:t>U rijetko naseljenim područjima (čl. 15. st. 2.)</w:t>
            </w:r>
          </w:p>
        </w:tc>
        <w:tc>
          <w:tcPr>
            <w:tcW w:w="1440" w:type="dxa"/>
            <w:gridSpan w:val="2"/>
          </w:tcPr>
          <w:p w14:paraId="4F3D391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7AC526AF"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7570AC9" w14:textId="77777777" w:rsidTr="006925EA">
        <w:trPr>
          <w:trHeight w:val="672"/>
        </w:trPr>
        <w:tc>
          <w:tcPr>
            <w:tcW w:w="2518" w:type="dxa"/>
            <w:vMerge/>
          </w:tcPr>
          <w:p w14:paraId="184B9CF0" w14:textId="77777777" w:rsidR="004F0329" w:rsidRPr="004F0329" w:rsidRDefault="004F0329" w:rsidP="004F0329">
            <w:pPr>
              <w:spacing w:before="120" w:after="0" w:line="240" w:lineRule="auto"/>
              <w:ind w:left="426" w:hanging="426"/>
              <w:jc w:val="both"/>
              <w:rPr>
                <w:rFonts w:ascii="Times New Roman" w:eastAsia="Times New Roman" w:hAnsi="Times New Roman"/>
                <w:bCs/>
                <w:noProof/>
                <w:sz w:val="24"/>
                <w:szCs w:val="24"/>
                <w:lang w:val="en-GB" w:eastAsia="en-US" w:bidi="ar-SA"/>
              </w:rPr>
            </w:pPr>
          </w:p>
        </w:tc>
        <w:tc>
          <w:tcPr>
            <w:tcW w:w="4250" w:type="dxa"/>
            <w:gridSpan w:val="2"/>
          </w:tcPr>
          <w:p w14:paraId="27D05BC3" w14:textId="77777777" w:rsidR="004F0329" w:rsidRPr="004F0329" w:rsidRDefault="004F0329" w:rsidP="004F0329">
            <w:pPr>
              <w:spacing w:before="120" w:after="0" w:line="240" w:lineRule="auto"/>
              <w:ind w:left="459" w:hanging="425"/>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ab/>
              <w:t>U vrlo rijetko naseljenim područjima (čl. 15. st. 3.)</w:t>
            </w:r>
          </w:p>
        </w:tc>
        <w:tc>
          <w:tcPr>
            <w:tcW w:w="1440" w:type="dxa"/>
            <w:gridSpan w:val="2"/>
          </w:tcPr>
          <w:p w14:paraId="7F5D00A2"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2DEE3AEB"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3963C23D" w14:textId="77777777" w:rsidTr="006925EA">
        <w:trPr>
          <w:trHeight w:val="672"/>
        </w:trPr>
        <w:tc>
          <w:tcPr>
            <w:tcW w:w="2518" w:type="dxa"/>
            <w:vMerge/>
          </w:tcPr>
          <w:p w14:paraId="51458A73" w14:textId="77777777" w:rsidR="004F0329" w:rsidRPr="004F0329" w:rsidRDefault="004F0329" w:rsidP="004F0329">
            <w:pPr>
              <w:spacing w:before="120" w:after="0" w:line="240" w:lineRule="auto"/>
              <w:ind w:left="426" w:hanging="426"/>
              <w:jc w:val="both"/>
              <w:rPr>
                <w:rFonts w:ascii="Times New Roman" w:eastAsia="Times New Roman" w:hAnsi="Times New Roman"/>
                <w:bCs/>
                <w:noProof/>
                <w:sz w:val="24"/>
                <w:szCs w:val="24"/>
                <w:lang w:val="en-GB" w:eastAsia="en-US" w:bidi="ar-SA"/>
              </w:rPr>
            </w:pPr>
          </w:p>
        </w:tc>
        <w:tc>
          <w:tcPr>
            <w:tcW w:w="4250" w:type="dxa"/>
            <w:gridSpan w:val="2"/>
          </w:tcPr>
          <w:p w14:paraId="73DD37EA" w14:textId="77777777" w:rsidR="004F0329" w:rsidRPr="004F0329" w:rsidRDefault="004F0329" w:rsidP="004F0329">
            <w:pPr>
              <w:spacing w:before="120" w:after="0" w:line="240" w:lineRule="auto"/>
              <w:ind w:left="459" w:hanging="425"/>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ab/>
              <w:t>U najudaljenijim regijama (čl. 15. st. 4.)</w:t>
            </w:r>
          </w:p>
        </w:tc>
        <w:tc>
          <w:tcPr>
            <w:tcW w:w="1440" w:type="dxa"/>
            <w:gridSpan w:val="2"/>
          </w:tcPr>
          <w:p w14:paraId="08B6F98F"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6E9085A3"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7FE35946" w14:textId="77777777" w:rsidTr="006925EA">
        <w:trPr>
          <w:trHeight w:val="326"/>
        </w:trPr>
        <w:tc>
          <w:tcPr>
            <w:tcW w:w="6768" w:type="dxa"/>
            <w:gridSpan w:val="3"/>
          </w:tcPr>
          <w:p w14:paraId="431F7A19" w14:textId="77777777" w:rsidR="004F0329" w:rsidRPr="004F0329" w:rsidRDefault="004F0329" w:rsidP="004F0329">
            <w:pPr>
              <w:spacing w:before="120" w:after="0" w:line="240" w:lineRule="auto"/>
              <w:ind w:left="284" w:hanging="250"/>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Regionalne potpore za urbani razvoj (čl. 16.)</w:t>
            </w:r>
          </w:p>
        </w:tc>
        <w:tc>
          <w:tcPr>
            <w:tcW w:w="1440" w:type="dxa"/>
            <w:gridSpan w:val="2"/>
          </w:tcPr>
          <w:p w14:paraId="299BE60D"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 nacionalna valuta</w:t>
            </w:r>
          </w:p>
        </w:tc>
        <w:tc>
          <w:tcPr>
            <w:tcW w:w="1080" w:type="dxa"/>
          </w:tcPr>
          <w:p w14:paraId="5CD559D0"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3E67215B" w14:textId="77777777" w:rsidTr="006925EA">
        <w:tc>
          <w:tcPr>
            <w:tcW w:w="2518" w:type="dxa"/>
            <w:vMerge w:val="restart"/>
          </w:tcPr>
          <w:p w14:paraId="4FE4D507"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 xml:space="preserve">Potpore za MSP-ove (čl. 17.–19.d) </w:t>
            </w:r>
          </w:p>
          <w:p w14:paraId="18CD5E76" w14:textId="77777777" w:rsidR="004F0329" w:rsidRPr="004F0329" w:rsidRDefault="004F0329" w:rsidP="004F0329">
            <w:pPr>
              <w:spacing w:before="120" w:after="0" w:line="240" w:lineRule="auto"/>
              <w:ind w:left="284" w:hanging="250"/>
              <w:jc w:val="both"/>
              <w:rPr>
                <w:rFonts w:ascii="Times New Roman" w:eastAsia="Times New Roman" w:hAnsi="Times New Roman"/>
                <w:bCs/>
                <w:noProof/>
                <w:sz w:val="24"/>
                <w:szCs w:val="24"/>
                <w:lang w:val="en-GB" w:eastAsia="en-US" w:bidi="ar-SA"/>
              </w:rPr>
            </w:pPr>
          </w:p>
        </w:tc>
        <w:tc>
          <w:tcPr>
            <w:tcW w:w="4250" w:type="dxa"/>
            <w:gridSpan w:val="2"/>
          </w:tcPr>
          <w:p w14:paraId="19ADA472"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ulaganja za MSP-ove (čl. 17.)</w:t>
            </w:r>
          </w:p>
        </w:tc>
        <w:tc>
          <w:tcPr>
            <w:tcW w:w="1440" w:type="dxa"/>
            <w:gridSpan w:val="2"/>
          </w:tcPr>
          <w:p w14:paraId="358A5925"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178AAEF8"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3DE46207" w14:textId="77777777" w:rsidTr="006925EA">
        <w:tc>
          <w:tcPr>
            <w:tcW w:w="2518" w:type="dxa"/>
            <w:vMerge/>
          </w:tcPr>
          <w:p w14:paraId="157781EB" w14:textId="77777777" w:rsidR="004F0329" w:rsidRPr="004F0329" w:rsidRDefault="004F0329" w:rsidP="004F0329">
            <w:pPr>
              <w:spacing w:before="120" w:after="0" w:line="240" w:lineRule="auto"/>
              <w:ind w:left="284" w:hanging="250"/>
              <w:jc w:val="both"/>
              <w:rPr>
                <w:rFonts w:ascii="Times New Roman" w:eastAsia="Times New Roman" w:hAnsi="Times New Roman"/>
                <w:noProof/>
                <w:sz w:val="24"/>
                <w:szCs w:val="24"/>
                <w:lang w:val="en-GB" w:eastAsia="en-US" w:bidi="ar-SA"/>
              </w:rPr>
            </w:pPr>
          </w:p>
        </w:tc>
        <w:tc>
          <w:tcPr>
            <w:tcW w:w="4250" w:type="dxa"/>
            <w:gridSpan w:val="2"/>
          </w:tcPr>
          <w:p w14:paraId="24BFD064"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savjetodavne usluge u korist MSP-ova (čl. 18.)</w:t>
            </w:r>
          </w:p>
        </w:tc>
        <w:tc>
          <w:tcPr>
            <w:tcW w:w="1440" w:type="dxa"/>
            <w:gridSpan w:val="2"/>
          </w:tcPr>
          <w:p w14:paraId="6DAA52C2"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3A35D2CA"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CC28DA6" w14:textId="77777777" w:rsidTr="006925EA">
        <w:tc>
          <w:tcPr>
            <w:tcW w:w="2518" w:type="dxa"/>
            <w:vMerge/>
          </w:tcPr>
          <w:p w14:paraId="7D918DCA" w14:textId="77777777" w:rsidR="004F0329" w:rsidRPr="004F0329" w:rsidRDefault="004F0329" w:rsidP="004F0329">
            <w:pPr>
              <w:spacing w:before="120" w:after="0" w:line="240" w:lineRule="auto"/>
              <w:ind w:left="284" w:hanging="250"/>
              <w:jc w:val="both"/>
              <w:rPr>
                <w:rFonts w:ascii="Times New Roman" w:eastAsia="Times New Roman" w:hAnsi="Times New Roman"/>
                <w:noProof/>
                <w:sz w:val="24"/>
                <w:szCs w:val="24"/>
                <w:lang w:val="en-GB" w:eastAsia="en-US" w:bidi="ar-SA"/>
              </w:rPr>
            </w:pPr>
          </w:p>
        </w:tc>
        <w:tc>
          <w:tcPr>
            <w:tcW w:w="4250" w:type="dxa"/>
            <w:gridSpan w:val="2"/>
          </w:tcPr>
          <w:p w14:paraId="53F98A20"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MSP-ovima za sudjelovanje na sajmovima (čl. 19.)</w:t>
            </w:r>
          </w:p>
        </w:tc>
        <w:tc>
          <w:tcPr>
            <w:tcW w:w="1440" w:type="dxa"/>
            <w:gridSpan w:val="2"/>
          </w:tcPr>
          <w:p w14:paraId="2734BE53"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2D7641A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5FD9DA8C" w14:textId="77777777" w:rsidTr="006925EA">
        <w:tc>
          <w:tcPr>
            <w:tcW w:w="2518" w:type="dxa"/>
            <w:vMerge/>
          </w:tcPr>
          <w:p w14:paraId="3EC0E030" w14:textId="77777777" w:rsidR="004F0329" w:rsidRPr="004F0329" w:rsidRDefault="004F0329" w:rsidP="004F0329">
            <w:pPr>
              <w:spacing w:before="120" w:after="0" w:line="240" w:lineRule="auto"/>
              <w:ind w:left="284" w:hanging="250"/>
              <w:jc w:val="both"/>
              <w:rPr>
                <w:rFonts w:ascii="Times New Roman" w:eastAsia="Times New Roman" w:hAnsi="Times New Roman"/>
                <w:noProof/>
                <w:sz w:val="24"/>
                <w:szCs w:val="24"/>
                <w:lang w:val="en-GB" w:eastAsia="en-US" w:bidi="ar-SA"/>
              </w:rPr>
            </w:pPr>
          </w:p>
        </w:tc>
        <w:tc>
          <w:tcPr>
            <w:tcW w:w="4250" w:type="dxa"/>
            <w:gridSpan w:val="2"/>
          </w:tcPr>
          <w:p w14:paraId="086564D6"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troškove MSP-ova koji sudjeluju u projektima lokalnog razvoja </w:t>
            </w:r>
            <w:r w:rsidRPr="004F0329">
              <w:rPr>
                <w:rFonts w:ascii="Times New Roman" w:eastAsia="Times New Roman" w:hAnsi="Times New Roman"/>
                <w:noProof/>
                <w:sz w:val="24"/>
                <w:szCs w:val="24"/>
                <w:lang w:val="en-GB" w:eastAsia="en-US" w:bidi="ar-SA"/>
              </w:rPr>
              <w:lastRenderedPageBreak/>
              <w:t xml:space="preserve">pod vodstvom zajednice („CLLD”) (čl. 19.a) </w:t>
            </w:r>
          </w:p>
        </w:tc>
        <w:tc>
          <w:tcPr>
            <w:tcW w:w="1440" w:type="dxa"/>
            <w:gridSpan w:val="2"/>
          </w:tcPr>
          <w:p w14:paraId="34DA1F9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lastRenderedPageBreak/>
              <w:t>…%</w:t>
            </w:r>
          </w:p>
        </w:tc>
        <w:tc>
          <w:tcPr>
            <w:tcW w:w="1080" w:type="dxa"/>
          </w:tcPr>
          <w:p w14:paraId="2EFAA00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7DD0F176" w14:textId="77777777" w:rsidTr="006925EA">
        <w:tc>
          <w:tcPr>
            <w:tcW w:w="2518" w:type="dxa"/>
            <w:vMerge/>
          </w:tcPr>
          <w:p w14:paraId="43A21AEE" w14:textId="77777777" w:rsidR="004F0329" w:rsidRPr="004F0329" w:rsidRDefault="004F0329" w:rsidP="004F0329">
            <w:pPr>
              <w:spacing w:before="120" w:after="0" w:line="240" w:lineRule="auto"/>
              <w:ind w:left="284" w:hanging="250"/>
              <w:jc w:val="both"/>
              <w:rPr>
                <w:rFonts w:ascii="Times New Roman" w:eastAsia="Times New Roman" w:hAnsi="Times New Roman"/>
                <w:noProof/>
                <w:sz w:val="24"/>
                <w:szCs w:val="24"/>
                <w:lang w:val="en-GB" w:eastAsia="en-US" w:bidi="ar-SA"/>
              </w:rPr>
            </w:pPr>
          </w:p>
        </w:tc>
        <w:tc>
          <w:tcPr>
            <w:tcW w:w="4250" w:type="dxa"/>
            <w:gridSpan w:val="2"/>
          </w:tcPr>
          <w:p w14:paraId="3CEFEFC8"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Ograničeni iznosi potpora MSP-ovima koji imaju koristi od projekata lokalnog razvoja pod vodstvom zajednice („CLLD”) (čl. 19.b)</w:t>
            </w:r>
            <w:r w:rsidRPr="004F0329">
              <w:rPr>
                <w:rFonts w:ascii="Times New Roman" w:eastAsia="Times New Roman" w:hAnsi="Times New Roman"/>
                <w:noProof/>
                <w:sz w:val="24"/>
                <w:szCs w:val="24"/>
                <w:vertAlign w:val="superscript"/>
                <w:lang w:val="en-GB" w:eastAsia="en-US" w:bidi="ar-SA"/>
              </w:rPr>
              <w:footnoteReference w:id="12"/>
            </w:r>
          </w:p>
        </w:tc>
        <w:tc>
          <w:tcPr>
            <w:tcW w:w="1440" w:type="dxa"/>
            <w:gridSpan w:val="2"/>
          </w:tcPr>
          <w:p w14:paraId="5BCEA4E5"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2198CBD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64F88A70" w14:textId="77777777" w:rsidTr="006925EA">
        <w:tc>
          <w:tcPr>
            <w:tcW w:w="2518" w:type="dxa"/>
            <w:vMerge/>
          </w:tcPr>
          <w:p w14:paraId="53CC2D75" w14:textId="77777777" w:rsidR="004F0329" w:rsidRPr="004F0329" w:rsidRDefault="004F0329" w:rsidP="004F0329">
            <w:pPr>
              <w:spacing w:before="120" w:after="0" w:line="240" w:lineRule="auto"/>
              <w:ind w:left="284" w:hanging="250"/>
              <w:jc w:val="both"/>
              <w:rPr>
                <w:rFonts w:ascii="Times New Roman" w:eastAsia="Times New Roman" w:hAnsi="Times New Roman"/>
                <w:noProof/>
                <w:sz w:val="24"/>
                <w:szCs w:val="24"/>
                <w:lang w:val="en-GB" w:eastAsia="en-US" w:bidi="ar-SA"/>
              </w:rPr>
            </w:pPr>
          </w:p>
        </w:tc>
        <w:tc>
          <w:tcPr>
            <w:tcW w:w="4250" w:type="dxa"/>
            <w:gridSpan w:val="2"/>
          </w:tcPr>
          <w:p w14:paraId="5AF8C96E"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mikropoduzećima u obliku javnih intervencija koje se odnose na opskrbu električnom energijom, plinom ili toplinskom energijom (čl. 19.c)</w:t>
            </w:r>
          </w:p>
        </w:tc>
        <w:tc>
          <w:tcPr>
            <w:tcW w:w="1440" w:type="dxa"/>
            <w:gridSpan w:val="2"/>
          </w:tcPr>
          <w:p w14:paraId="15545855"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5FCD6069"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305B98C3" w14:textId="77777777" w:rsidTr="006925EA">
        <w:tc>
          <w:tcPr>
            <w:tcW w:w="2518" w:type="dxa"/>
            <w:vMerge/>
          </w:tcPr>
          <w:p w14:paraId="2DE3D2EA" w14:textId="77777777" w:rsidR="004F0329" w:rsidRPr="004F0329" w:rsidRDefault="004F0329" w:rsidP="004F0329">
            <w:pPr>
              <w:spacing w:before="120" w:after="0" w:line="240" w:lineRule="auto"/>
              <w:ind w:left="284" w:hanging="250"/>
              <w:jc w:val="both"/>
              <w:rPr>
                <w:rFonts w:ascii="Times New Roman" w:eastAsia="Times New Roman" w:hAnsi="Times New Roman"/>
                <w:noProof/>
                <w:sz w:val="24"/>
                <w:szCs w:val="24"/>
                <w:lang w:val="en-GB" w:eastAsia="en-US" w:bidi="ar-SA"/>
              </w:rPr>
            </w:pPr>
          </w:p>
        </w:tc>
        <w:tc>
          <w:tcPr>
            <w:tcW w:w="4250" w:type="dxa"/>
            <w:gridSpan w:val="2"/>
          </w:tcPr>
          <w:p w14:paraId="181F27E3"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MSP-ovima u obliku privremenih javnih intervencija koje se odnose na opskrbu električnom energijom, plinom ili toplinskom energijom proizvedenom iz prirodnog plina ili električne energije kako bi se ublažio učinak povećanja cijena nastao kao posljedica ruske ratne agresije na Ukrajinu (čl. 19.d)</w:t>
            </w:r>
          </w:p>
        </w:tc>
        <w:tc>
          <w:tcPr>
            <w:tcW w:w="1440" w:type="dxa"/>
            <w:gridSpan w:val="2"/>
          </w:tcPr>
          <w:p w14:paraId="7E49F0E0"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75AAB12A"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2AC0F5E" w14:textId="77777777" w:rsidTr="006925EA">
        <w:trPr>
          <w:trHeight w:val="681"/>
        </w:trPr>
        <w:tc>
          <w:tcPr>
            <w:tcW w:w="2518" w:type="dxa"/>
            <w:vMerge w:val="restart"/>
          </w:tcPr>
          <w:p w14:paraId="45003819"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fr-BE" w:eastAsia="en-US" w:bidi="ar-SA"/>
              </w:rPr>
            </w:pPr>
            <w:r w:rsidRPr="004F0329">
              <w:rPr>
                <w:rFonts w:ascii="Times New Roman" w:eastAsia="Times New Roman" w:hAnsi="Times New Roman"/>
                <w:noProof/>
                <w:sz w:val="24"/>
                <w:szCs w:val="24"/>
                <w:lang w:val="fr-BE" w:eastAsia="en-US" w:bidi="ar-SA"/>
              </w:rPr>
              <w:t>Potpore za europsku teritorijalnu suradnju (čl. 20.–20.a)</w:t>
            </w:r>
          </w:p>
          <w:p w14:paraId="3474E6F5"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fr-BE" w:eastAsia="en-US" w:bidi="ar-SA"/>
              </w:rPr>
            </w:pPr>
          </w:p>
        </w:tc>
        <w:tc>
          <w:tcPr>
            <w:tcW w:w="4250" w:type="dxa"/>
            <w:gridSpan w:val="2"/>
          </w:tcPr>
          <w:p w14:paraId="03CD109C"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fr-BE"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fr-BE"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fr-BE" w:eastAsia="en-US" w:bidi="ar-SA"/>
              </w:rPr>
              <w:t xml:space="preserve"> Potpore za troškove poduzetnika koji sudjeluju u projektima europske teritorijalne suradnje (čl. 20.)</w:t>
            </w:r>
          </w:p>
        </w:tc>
        <w:tc>
          <w:tcPr>
            <w:tcW w:w="1440" w:type="dxa"/>
            <w:gridSpan w:val="2"/>
          </w:tcPr>
          <w:p w14:paraId="6D02EEB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248CA53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789D1F95" w14:textId="77777777" w:rsidTr="006925EA">
        <w:trPr>
          <w:trHeight w:val="681"/>
        </w:trPr>
        <w:tc>
          <w:tcPr>
            <w:tcW w:w="2518" w:type="dxa"/>
            <w:vMerge/>
          </w:tcPr>
          <w:p w14:paraId="5DD66CCD"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0618E4A5"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Ograničeni iznosi potpora poduzetnicima za sudjelovanje u projektima europske teritorijalne suradnje (čl. 20.a)</w:t>
            </w:r>
            <w:r w:rsidRPr="004F0329">
              <w:rPr>
                <w:rFonts w:ascii="Times New Roman" w:eastAsia="Times New Roman" w:hAnsi="Times New Roman"/>
                <w:noProof/>
                <w:sz w:val="24"/>
                <w:szCs w:val="24"/>
                <w:vertAlign w:val="superscript"/>
                <w:lang w:val="en-GB" w:eastAsia="en-US" w:bidi="ar-SA"/>
              </w:rPr>
              <w:footnoteReference w:id="13"/>
            </w:r>
          </w:p>
        </w:tc>
        <w:tc>
          <w:tcPr>
            <w:tcW w:w="1440" w:type="dxa"/>
            <w:gridSpan w:val="2"/>
          </w:tcPr>
          <w:p w14:paraId="04083E33"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4B46DD1B"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7AF7D4B0" w14:textId="77777777" w:rsidTr="006925EA">
        <w:trPr>
          <w:trHeight w:val="681"/>
        </w:trPr>
        <w:tc>
          <w:tcPr>
            <w:tcW w:w="2518" w:type="dxa"/>
            <w:vMerge w:val="restart"/>
          </w:tcPr>
          <w:p w14:paraId="3ED1A1F9"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Potpora za pristup financiranju za MSP-ove (čl. 21.–22.)</w:t>
            </w:r>
          </w:p>
        </w:tc>
        <w:tc>
          <w:tcPr>
            <w:tcW w:w="4250" w:type="dxa"/>
            <w:gridSpan w:val="2"/>
          </w:tcPr>
          <w:p w14:paraId="0B3F9744" w14:textId="77777777" w:rsidR="004F0329" w:rsidRPr="004F0329" w:rsidRDefault="004F0329" w:rsidP="004F0329">
            <w:pPr>
              <w:spacing w:before="120" w:after="0" w:line="240" w:lineRule="auto"/>
              <w:ind w:left="459" w:hanging="425"/>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rizično financiranje (čl. 21.)</w:t>
            </w:r>
          </w:p>
        </w:tc>
        <w:tc>
          <w:tcPr>
            <w:tcW w:w="1440" w:type="dxa"/>
            <w:gridSpan w:val="2"/>
          </w:tcPr>
          <w:p w14:paraId="219ABBF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48297EF2"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nije primjenjivo</w:t>
            </w:r>
          </w:p>
        </w:tc>
      </w:tr>
      <w:tr w:rsidR="004F0329" w:rsidRPr="004F0329" w14:paraId="394B69B1" w14:textId="77777777" w:rsidTr="006925EA">
        <w:trPr>
          <w:trHeight w:val="681"/>
        </w:trPr>
        <w:tc>
          <w:tcPr>
            <w:tcW w:w="2518" w:type="dxa"/>
            <w:vMerge/>
          </w:tcPr>
          <w:p w14:paraId="10A76EC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p>
        </w:tc>
        <w:tc>
          <w:tcPr>
            <w:tcW w:w="4250" w:type="dxa"/>
            <w:gridSpan w:val="2"/>
          </w:tcPr>
          <w:p w14:paraId="0251B877" w14:textId="77777777" w:rsidR="004F0329" w:rsidRPr="004F0329" w:rsidRDefault="004F0329" w:rsidP="004F0329">
            <w:pPr>
              <w:spacing w:before="120" w:after="0" w:line="240" w:lineRule="auto"/>
              <w:ind w:left="459" w:hanging="425"/>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MSP-ovima za rizično financiranje u obliku poreznih poticaja za privatne ulagače koji su fizičke osobe (čl. 21.a)</w:t>
            </w:r>
          </w:p>
        </w:tc>
        <w:tc>
          <w:tcPr>
            <w:tcW w:w="1440" w:type="dxa"/>
            <w:gridSpan w:val="2"/>
          </w:tcPr>
          <w:p w14:paraId="141E5D7D"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6BF536FD"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nije primjenjivo</w:t>
            </w:r>
          </w:p>
        </w:tc>
      </w:tr>
      <w:tr w:rsidR="004F0329" w:rsidRPr="004F0329" w14:paraId="7566FF34" w14:textId="77777777" w:rsidTr="006925EA">
        <w:trPr>
          <w:trHeight w:val="705"/>
        </w:trPr>
        <w:tc>
          <w:tcPr>
            <w:tcW w:w="2518" w:type="dxa"/>
            <w:vMerge/>
          </w:tcPr>
          <w:p w14:paraId="1D2286CA" w14:textId="77777777" w:rsidR="004F0329" w:rsidRPr="004F0329" w:rsidRDefault="004F0329" w:rsidP="004F0329">
            <w:pPr>
              <w:spacing w:before="120" w:after="0" w:line="240" w:lineRule="auto"/>
              <w:ind w:left="426" w:hanging="426"/>
              <w:jc w:val="both"/>
              <w:rPr>
                <w:rFonts w:ascii="Times New Roman" w:eastAsia="Times New Roman" w:hAnsi="Times New Roman"/>
                <w:bCs/>
                <w:noProof/>
                <w:sz w:val="24"/>
                <w:szCs w:val="24"/>
                <w:lang w:val="en-GB" w:eastAsia="en-US" w:bidi="ar-SA"/>
              </w:rPr>
            </w:pPr>
          </w:p>
        </w:tc>
        <w:tc>
          <w:tcPr>
            <w:tcW w:w="4250" w:type="dxa"/>
            <w:gridSpan w:val="2"/>
          </w:tcPr>
          <w:p w14:paraId="5099C4E7" w14:textId="77777777" w:rsidR="004F0329" w:rsidRPr="004F0329" w:rsidRDefault="004F0329" w:rsidP="004F0329">
            <w:pPr>
              <w:spacing w:before="120" w:after="0" w:line="240" w:lineRule="auto"/>
              <w:ind w:left="459" w:hanging="425"/>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novoosnovana poduzeća (čl. 22.)</w:t>
            </w:r>
          </w:p>
        </w:tc>
        <w:tc>
          <w:tcPr>
            <w:tcW w:w="1440" w:type="dxa"/>
            <w:gridSpan w:val="2"/>
          </w:tcPr>
          <w:p w14:paraId="3623C3BC"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1518D9C4"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nije primjenjivo</w:t>
            </w:r>
          </w:p>
        </w:tc>
      </w:tr>
      <w:tr w:rsidR="004F0329" w:rsidRPr="004F0329" w14:paraId="1E969FC5" w14:textId="77777777" w:rsidTr="006925EA">
        <w:trPr>
          <w:trHeight w:val="793"/>
        </w:trPr>
        <w:tc>
          <w:tcPr>
            <w:tcW w:w="6768" w:type="dxa"/>
            <w:gridSpan w:val="3"/>
          </w:tcPr>
          <w:p w14:paraId="0B596747" w14:textId="77777777" w:rsidR="004F0329" w:rsidRPr="00C353F2" w:rsidRDefault="004F0329" w:rsidP="004F0329">
            <w:pPr>
              <w:spacing w:before="120" w:after="0" w:line="240" w:lineRule="auto"/>
              <w:ind w:left="284" w:hanging="284"/>
              <w:jc w:val="both"/>
              <w:rPr>
                <w:rFonts w:ascii="Times New Roman" w:eastAsia="Times New Roman" w:hAnsi="Times New Roman"/>
                <w:bCs/>
                <w:noProof/>
                <w:sz w:val="24"/>
                <w:szCs w:val="24"/>
                <w:lang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C353F2">
              <w:rPr>
                <w:rFonts w:ascii="Times New Roman" w:eastAsia="Times New Roman" w:hAnsi="Times New Roman"/>
                <w:noProof/>
                <w:sz w:val="24"/>
                <w:szCs w:val="24"/>
                <w:lang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C353F2">
              <w:rPr>
                <w:rFonts w:ascii="Times New Roman" w:eastAsia="Times New Roman" w:hAnsi="Times New Roman"/>
                <w:noProof/>
                <w:sz w:val="24"/>
                <w:szCs w:val="24"/>
                <w:lang w:eastAsia="en-US" w:bidi="ar-SA"/>
              </w:rPr>
              <w:t xml:space="preserve"> Potpore MSP-ovima – Potpore za alternativne trgovinske platforme specijalizirane za MSP-ove (čl. 23.)</w:t>
            </w:r>
          </w:p>
        </w:tc>
        <w:tc>
          <w:tcPr>
            <w:tcW w:w="1440" w:type="dxa"/>
            <w:gridSpan w:val="2"/>
          </w:tcPr>
          <w:p w14:paraId="7FDBCC28"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 nacionalna valuta</w:t>
            </w:r>
          </w:p>
        </w:tc>
        <w:tc>
          <w:tcPr>
            <w:tcW w:w="1080" w:type="dxa"/>
          </w:tcPr>
          <w:p w14:paraId="2E3411AB"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nije primjenjivo</w:t>
            </w:r>
          </w:p>
        </w:tc>
      </w:tr>
      <w:tr w:rsidR="004F0329" w:rsidRPr="004F0329" w14:paraId="23EED41D" w14:textId="77777777" w:rsidTr="006925EA">
        <w:trPr>
          <w:trHeight w:val="442"/>
        </w:trPr>
        <w:tc>
          <w:tcPr>
            <w:tcW w:w="6768" w:type="dxa"/>
            <w:gridSpan w:val="3"/>
          </w:tcPr>
          <w:p w14:paraId="137C0975" w14:textId="77777777" w:rsidR="004F0329" w:rsidRPr="00C353F2" w:rsidRDefault="004F0329" w:rsidP="004F0329">
            <w:pPr>
              <w:spacing w:before="120" w:after="0" w:line="240" w:lineRule="auto"/>
              <w:ind w:left="426" w:hanging="426"/>
              <w:jc w:val="both"/>
              <w:rPr>
                <w:rFonts w:ascii="Times New Roman" w:eastAsia="Times New Roman" w:hAnsi="Times New Roman"/>
                <w:b/>
                <w:bCs/>
                <w:noProof/>
                <w:sz w:val="24"/>
                <w:szCs w:val="24"/>
                <w:lang w:eastAsia="en-US" w:bidi="ar-SA"/>
              </w:rPr>
            </w:pPr>
            <w:r w:rsidRPr="004F0329">
              <w:rPr>
                <w:rFonts w:ascii="Times New Roman" w:eastAsia="Times New Roman" w:hAnsi="Times New Roman"/>
                <w:noProof/>
                <w:sz w:val="24"/>
                <w:szCs w:val="24"/>
                <w:lang w:val="en-GB" w:eastAsia="en-US" w:bidi="ar-SA"/>
              </w:rPr>
              <w:lastRenderedPageBreak/>
              <w:fldChar w:fldCharType="begin">
                <w:ffData>
                  <w:name w:val="Check1"/>
                  <w:enabled/>
                  <w:calcOnExit w:val="0"/>
                  <w:checkBox>
                    <w:sizeAuto/>
                    <w:default w:val="0"/>
                  </w:checkBox>
                </w:ffData>
              </w:fldChar>
            </w:r>
            <w:r w:rsidRPr="00C353F2">
              <w:rPr>
                <w:rFonts w:ascii="Times New Roman" w:eastAsia="Times New Roman" w:hAnsi="Times New Roman"/>
                <w:noProof/>
                <w:sz w:val="24"/>
                <w:szCs w:val="24"/>
                <w:lang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C353F2">
              <w:rPr>
                <w:rFonts w:ascii="Times New Roman" w:eastAsia="Times New Roman" w:hAnsi="Times New Roman"/>
                <w:noProof/>
                <w:sz w:val="24"/>
                <w:szCs w:val="24"/>
                <w:lang w:eastAsia="en-US" w:bidi="ar-SA"/>
              </w:rPr>
              <w:t xml:space="preserve"> Potpore MSP-ovima – Potpore za troškove izviđanja (čl. 24.)</w:t>
            </w:r>
          </w:p>
        </w:tc>
        <w:tc>
          <w:tcPr>
            <w:tcW w:w="1440" w:type="dxa"/>
            <w:gridSpan w:val="2"/>
          </w:tcPr>
          <w:p w14:paraId="18838C85"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09B29AF1"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nije primjenjivo</w:t>
            </w:r>
          </w:p>
        </w:tc>
      </w:tr>
      <w:tr w:rsidR="004F0329" w:rsidRPr="004F0329" w14:paraId="31B7E74C" w14:textId="77777777" w:rsidTr="006925EA">
        <w:trPr>
          <w:trHeight w:val="210"/>
        </w:trPr>
        <w:tc>
          <w:tcPr>
            <w:tcW w:w="2518" w:type="dxa"/>
            <w:vMerge w:val="restart"/>
          </w:tcPr>
          <w:p w14:paraId="1C4C17BB" w14:textId="77777777" w:rsidR="004F0329" w:rsidRPr="00C353F2" w:rsidRDefault="004F0329" w:rsidP="004F0329">
            <w:pPr>
              <w:spacing w:before="120" w:after="0" w:line="240" w:lineRule="auto"/>
              <w:ind w:left="284" w:hanging="284"/>
              <w:jc w:val="both"/>
              <w:rPr>
                <w:rFonts w:ascii="Times New Roman" w:eastAsia="Times New Roman" w:hAnsi="Times New Roman"/>
                <w:bCs/>
                <w:noProof/>
                <w:sz w:val="24"/>
                <w:szCs w:val="24"/>
                <w:lang w:eastAsia="en-US" w:bidi="ar-SA"/>
              </w:rPr>
            </w:pPr>
            <w:r w:rsidRPr="00C353F2">
              <w:rPr>
                <w:rFonts w:ascii="Times New Roman" w:eastAsia="Times New Roman" w:hAnsi="Times New Roman"/>
                <w:noProof/>
                <w:sz w:val="24"/>
                <w:szCs w:val="24"/>
                <w:lang w:eastAsia="en-US" w:bidi="ar-SA"/>
              </w:rPr>
              <w:tab/>
              <w:t>Potpore za istraživanje, razvoj i inovacije (čl. 25.–30.)</w:t>
            </w:r>
          </w:p>
        </w:tc>
        <w:tc>
          <w:tcPr>
            <w:tcW w:w="1190" w:type="dxa"/>
            <w:vMerge w:val="restart"/>
          </w:tcPr>
          <w:p w14:paraId="2E372771"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 xml:space="preserve">Potpore za projekte istraživanja i razvoja </w:t>
            </w:r>
            <w:r w:rsidRPr="004F0329">
              <w:rPr>
                <w:rFonts w:ascii="Times New Roman" w:eastAsia="Times New Roman" w:hAnsi="Times New Roman"/>
                <w:noProof/>
                <w:sz w:val="24"/>
                <w:szCs w:val="24"/>
                <w:lang w:val="en-GB" w:eastAsia="en-US" w:bidi="ar-SA"/>
              </w:rPr>
              <w:br/>
              <w:t>(čl. 25.)</w:t>
            </w:r>
          </w:p>
        </w:tc>
        <w:tc>
          <w:tcPr>
            <w:tcW w:w="3060" w:type="dxa"/>
          </w:tcPr>
          <w:p w14:paraId="14F0F0F8"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Temeljno istraživanje (čl. 25. st. 2. t. (a))</w:t>
            </w:r>
          </w:p>
        </w:tc>
        <w:tc>
          <w:tcPr>
            <w:tcW w:w="1440" w:type="dxa"/>
            <w:gridSpan w:val="2"/>
          </w:tcPr>
          <w:p w14:paraId="7A59288A"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49753D27"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55A74FA" w14:textId="77777777" w:rsidTr="006925EA">
        <w:trPr>
          <w:trHeight w:val="210"/>
        </w:trPr>
        <w:tc>
          <w:tcPr>
            <w:tcW w:w="2518" w:type="dxa"/>
            <w:vMerge/>
          </w:tcPr>
          <w:p w14:paraId="77311830"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1190" w:type="dxa"/>
            <w:vMerge/>
          </w:tcPr>
          <w:p w14:paraId="3179D184"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3060" w:type="dxa"/>
          </w:tcPr>
          <w:p w14:paraId="296773F8"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Industrijsko istraživanje (čl. 25. st. 2. t. (b))</w:t>
            </w:r>
          </w:p>
        </w:tc>
        <w:tc>
          <w:tcPr>
            <w:tcW w:w="1440" w:type="dxa"/>
            <w:gridSpan w:val="2"/>
          </w:tcPr>
          <w:p w14:paraId="00D8C1B9"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168C7468"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146051CE" w14:textId="77777777" w:rsidTr="006925EA">
        <w:trPr>
          <w:trHeight w:val="428"/>
        </w:trPr>
        <w:tc>
          <w:tcPr>
            <w:tcW w:w="2518" w:type="dxa"/>
            <w:vMerge/>
          </w:tcPr>
          <w:p w14:paraId="1A466CD5"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1190" w:type="dxa"/>
            <w:vMerge/>
          </w:tcPr>
          <w:p w14:paraId="1AC9E695"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3060" w:type="dxa"/>
          </w:tcPr>
          <w:p w14:paraId="4E9FB0FE"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Eksperimentalni razvoj (čl. 25. st. 2. t. (c))</w:t>
            </w:r>
          </w:p>
        </w:tc>
        <w:tc>
          <w:tcPr>
            <w:tcW w:w="1440" w:type="dxa"/>
            <w:gridSpan w:val="2"/>
          </w:tcPr>
          <w:p w14:paraId="5F55CDB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79C1A192"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3B3CAF9C" w14:textId="77777777" w:rsidTr="006925EA">
        <w:trPr>
          <w:trHeight w:val="427"/>
        </w:trPr>
        <w:tc>
          <w:tcPr>
            <w:tcW w:w="2518" w:type="dxa"/>
            <w:vMerge/>
          </w:tcPr>
          <w:p w14:paraId="4E2F17BD"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1190" w:type="dxa"/>
            <w:vMerge/>
          </w:tcPr>
          <w:p w14:paraId="7FAE8792"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3060" w:type="dxa"/>
          </w:tcPr>
          <w:p w14:paraId="6593EB0A"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Studije izvedivosti (čl. 25. st. 2. t. (d))</w:t>
            </w:r>
          </w:p>
        </w:tc>
        <w:tc>
          <w:tcPr>
            <w:tcW w:w="1440" w:type="dxa"/>
            <w:gridSpan w:val="2"/>
          </w:tcPr>
          <w:p w14:paraId="76ACDA5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6041112C"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19027D64" w14:textId="77777777" w:rsidTr="006925EA">
        <w:trPr>
          <w:trHeight w:val="375"/>
        </w:trPr>
        <w:tc>
          <w:tcPr>
            <w:tcW w:w="2518" w:type="dxa"/>
            <w:vMerge/>
          </w:tcPr>
          <w:p w14:paraId="2229B95B"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35B8AF0D"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projekte kojima je dodijeljena oznaka kvalitete „pečat izvrsnosti” (čl. 25.a)</w:t>
            </w:r>
          </w:p>
        </w:tc>
        <w:tc>
          <w:tcPr>
            <w:tcW w:w="1440" w:type="dxa"/>
            <w:gridSpan w:val="2"/>
          </w:tcPr>
          <w:p w14:paraId="09205B25"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3955509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27899E8" w14:textId="77777777" w:rsidTr="006925EA">
        <w:trPr>
          <w:trHeight w:val="375"/>
        </w:trPr>
        <w:tc>
          <w:tcPr>
            <w:tcW w:w="2518" w:type="dxa"/>
            <w:vMerge/>
          </w:tcPr>
          <w:p w14:paraId="0F911D74"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4D23A07D"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aktivnosti Marie Skłodowska-Curie i aktivnosti provjere koncepta Europskog istraživačkog vijeća (čl. 25.b)</w:t>
            </w:r>
          </w:p>
        </w:tc>
        <w:tc>
          <w:tcPr>
            <w:tcW w:w="1440" w:type="dxa"/>
            <w:gridSpan w:val="2"/>
          </w:tcPr>
          <w:p w14:paraId="6AD0C1D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65A91431"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3813CC8D" w14:textId="77777777" w:rsidTr="006925EA">
        <w:trPr>
          <w:trHeight w:val="375"/>
        </w:trPr>
        <w:tc>
          <w:tcPr>
            <w:tcW w:w="2518" w:type="dxa"/>
            <w:vMerge/>
          </w:tcPr>
          <w:p w14:paraId="07B527A9"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4BBF31B8"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uključene u sufinancirane projekte istraživanja i razvoja (čl. 25.c)</w:t>
            </w:r>
          </w:p>
        </w:tc>
        <w:tc>
          <w:tcPr>
            <w:tcW w:w="1440" w:type="dxa"/>
            <w:gridSpan w:val="2"/>
          </w:tcPr>
          <w:p w14:paraId="00E349F2"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2A98842F"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541C951" w14:textId="77777777" w:rsidTr="006925EA">
        <w:trPr>
          <w:trHeight w:val="375"/>
        </w:trPr>
        <w:tc>
          <w:tcPr>
            <w:tcW w:w="2518" w:type="dxa"/>
            <w:vMerge/>
          </w:tcPr>
          <w:p w14:paraId="6A9B1B85"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5B7B9AD3"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aktivnosti udruživanja (čl. 25.d)</w:t>
            </w:r>
          </w:p>
        </w:tc>
        <w:tc>
          <w:tcPr>
            <w:tcW w:w="1440" w:type="dxa"/>
            <w:gridSpan w:val="2"/>
          </w:tcPr>
          <w:p w14:paraId="2FEF84D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12C907ED"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CFE90C0" w14:textId="77777777" w:rsidTr="006925EA">
        <w:trPr>
          <w:trHeight w:val="375"/>
        </w:trPr>
        <w:tc>
          <w:tcPr>
            <w:tcW w:w="2518" w:type="dxa"/>
            <w:vMerge/>
          </w:tcPr>
          <w:p w14:paraId="07D50770"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128B1374"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Potpora uključena u sufinanciranje projekata koje podupire Europski fond za obranu ili Europski program industrijskog razvoja u području obrane (čl. 25.e) </w:t>
            </w:r>
          </w:p>
        </w:tc>
        <w:tc>
          <w:tcPr>
            <w:tcW w:w="1440" w:type="dxa"/>
            <w:gridSpan w:val="2"/>
          </w:tcPr>
          <w:p w14:paraId="7C7612B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58B904EB"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5D0EEF67" w14:textId="77777777" w:rsidTr="006925EA">
        <w:trPr>
          <w:trHeight w:val="375"/>
        </w:trPr>
        <w:tc>
          <w:tcPr>
            <w:tcW w:w="2518" w:type="dxa"/>
            <w:vMerge/>
          </w:tcPr>
          <w:p w14:paraId="5D03E65F"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79A9B56E" w14:textId="77777777" w:rsidR="004F0329" w:rsidRPr="004F0329" w:rsidRDefault="004F0329" w:rsidP="004F0329">
            <w:pPr>
              <w:spacing w:before="120" w:after="0" w:line="240" w:lineRule="auto"/>
              <w:ind w:left="317" w:hanging="317"/>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ulaganje u istraživačku infrastrukturu (čl. 26.)</w:t>
            </w:r>
          </w:p>
        </w:tc>
        <w:tc>
          <w:tcPr>
            <w:tcW w:w="1440" w:type="dxa"/>
            <w:gridSpan w:val="2"/>
          </w:tcPr>
          <w:p w14:paraId="7EA244E1"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323958C3"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DDD3B04" w14:textId="77777777" w:rsidTr="006925EA">
        <w:trPr>
          <w:trHeight w:val="375"/>
        </w:trPr>
        <w:tc>
          <w:tcPr>
            <w:tcW w:w="2518" w:type="dxa"/>
            <w:vMerge/>
          </w:tcPr>
          <w:p w14:paraId="210335F6"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1339D54B"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fr-BE"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fr-BE"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fr-BE" w:eastAsia="en-US" w:bidi="ar-SA"/>
              </w:rPr>
              <w:t xml:space="preserve"> Potpore za ulaganje u infrastrukture za testiranje i eksperimentiranje (čl. 26.a)</w:t>
            </w:r>
          </w:p>
          <w:p w14:paraId="2CB85731"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fr-BE" w:eastAsia="en-US" w:bidi="ar-SA"/>
              </w:rPr>
            </w:pPr>
          </w:p>
        </w:tc>
        <w:tc>
          <w:tcPr>
            <w:tcW w:w="1440" w:type="dxa"/>
            <w:gridSpan w:val="2"/>
          </w:tcPr>
          <w:p w14:paraId="36F5CE70"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0EFD7E2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55B8C903" w14:textId="77777777" w:rsidTr="006925EA">
        <w:trPr>
          <w:trHeight w:val="375"/>
        </w:trPr>
        <w:tc>
          <w:tcPr>
            <w:tcW w:w="2518" w:type="dxa"/>
            <w:vMerge/>
          </w:tcPr>
          <w:p w14:paraId="1B2DDFAC"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49EA8D72"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inovacijske klastere (čl. 27.)</w:t>
            </w:r>
          </w:p>
        </w:tc>
        <w:tc>
          <w:tcPr>
            <w:tcW w:w="1440" w:type="dxa"/>
            <w:gridSpan w:val="2"/>
          </w:tcPr>
          <w:p w14:paraId="46411E9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4B3F47F8"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6F4E66A8" w14:textId="77777777" w:rsidTr="006925EA">
        <w:trPr>
          <w:trHeight w:val="375"/>
        </w:trPr>
        <w:tc>
          <w:tcPr>
            <w:tcW w:w="2518" w:type="dxa"/>
            <w:vMerge/>
          </w:tcPr>
          <w:p w14:paraId="2D0462B7"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1C4BCC2B"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inovacije za MSP-ove (čl. 28.)</w:t>
            </w:r>
          </w:p>
        </w:tc>
        <w:tc>
          <w:tcPr>
            <w:tcW w:w="1440" w:type="dxa"/>
            <w:gridSpan w:val="2"/>
          </w:tcPr>
          <w:p w14:paraId="22E43E40"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2934F2AC"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168AF087" w14:textId="77777777" w:rsidTr="006925EA">
        <w:trPr>
          <w:trHeight w:val="375"/>
        </w:trPr>
        <w:tc>
          <w:tcPr>
            <w:tcW w:w="2518" w:type="dxa"/>
            <w:vMerge/>
          </w:tcPr>
          <w:p w14:paraId="2DC52162"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7E9E8B3C"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inovacije procesa i organizacije poslovanja (čl. 29.)</w:t>
            </w:r>
          </w:p>
        </w:tc>
        <w:tc>
          <w:tcPr>
            <w:tcW w:w="1440" w:type="dxa"/>
            <w:gridSpan w:val="2"/>
          </w:tcPr>
          <w:p w14:paraId="23506673"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5E7701BF"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AD89CDC" w14:textId="77777777" w:rsidTr="006925EA">
        <w:trPr>
          <w:trHeight w:val="711"/>
        </w:trPr>
        <w:tc>
          <w:tcPr>
            <w:tcW w:w="2518" w:type="dxa"/>
            <w:vMerge/>
          </w:tcPr>
          <w:p w14:paraId="6B3A3359"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32D0C209" w14:textId="77777777" w:rsidR="004F0329" w:rsidRPr="004F0329" w:rsidRDefault="004F0329" w:rsidP="004F0329">
            <w:pPr>
              <w:spacing w:before="120" w:after="0" w:line="240" w:lineRule="auto"/>
              <w:ind w:left="317" w:hanging="317"/>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istraživanje i razvoj u sektoru ribarstva i akvakulture (čl. 30.)</w:t>
            </w:r>
          </w:p>
        </w:tc>
        <w:tc>
          <w:tcPr>
            <w:tcW w:w="1440" w:type="dxa"/>
            <w:gridSpan w:val="2"/>
          </w:tcPr>
          <w:p w14:paraId="0DB0B1E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4EA5D491"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137999BD" w14:textId="77777777" w:rsidTr="006925EA">
        <w:trPr>
          <w:trHeight w:val="467"/>
        </w:trPr>
        <w:tc>
          <w:tcPr>
            <w:tcW w:w="6768" w:type="dxa"/>
            <w:gridSpan w:val="3"/>
          </w:tcPr>
          <w:p w14:paraId="73068A1F"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lastRenderedPageBreak/>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usavršavanje (čl. 31.)</w:t>
            </w:r>
          </w:p>
        </w:tc>
        <w:tc>
          <w:tcPr>
            <w:tcW w:w="1440" w:type="dxa"/>
            <w:gridSpan w:val="2"/>
          </w:tcPr>
          <w:p w14:paraId="5CEDBE2C"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27A58204"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3FC40DB" w14:textId="77777777" w:rsidTr="006925EA">
        <w:trPr>
          <w:trHeight w:val="460"/>
        </w:trPr>
        <w:tc>
          <w:tcPr>
            <w:tcW w:w="2518" w:type="dxa"/>
            <w:vMerge w:val="restart"/>
          </w:tcPr>
          <w:p w14:paraId="3B0BA9AC"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ab/>
              <w:t>Potpore za radnike u nepovoljnom položaju i radnike s invaliditetom (čl. 32.–35.)</w:t>
            </w:r>
          </w:p>
        </w:tc>
        <w:tc>
          <w:tcPr>
            <w:tcW w:w="4250" w:type="dxa"/>
            <w:gridSpan w:val="2"/>
          </w:tcPr>
          <w:p w14:paraId="4979064C" w14:textId="77777777" w:rsidR="004F0329" w:rsidRPr="004F0329" w:rsidRDefault="004F0329" w:rsidP="004F0329">
            <w:pPr>
              <w:spacing w:before="120" w:after="0" w:line="240" w:lineRule="auto"/>
              <w:ind w:left="317" w:hanging="317"/>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zapošljavanje radnika u nepovoljnom položaju u obliku subvencija za plaće (čl. 32.)</w:t>
            </w:r>
          </w:p>
        </w:tc>
        <w:tc>
          <w:tcPr>
            <w:tcW w:w="1440" w:type="dxa"/>
            <w:gridSpan w:val="2"/>
          </w:tcPr>
          <w:p w14:paraId="42F37125"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104862A0"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6337D0FE" w14:textId="77777777" w:rsidTr="006925EA">
        <w:trPr>
          <w:trHeight w:val="460"/>
        </w:trPr>
        <w:tc>
          <w:tcPr>
            <w:tcW w:w="2518" w:type="dxa"/>
            <w:vMerge/>
          </w:tcPr>
          <w:p w14:paraId="3F50FC42"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20EA3CA1"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zapošljavanje radnika s invaliditetom u obliku subvencija za plaće (čl. 33.)</w:t>
            </w:r>
          </w:p>
        </w:tc>
        <w:tc>
          <w:tcPr>
            <w:tcW w:w="1440" w:type="dxa"/>
            <w:gridSpan w:val="2"/>
          </w:tcPr>
          <w:p w14:paraId="5524BF5C"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7DCE023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D8F8476" w14:textId="77777777" w:rsidTr="006925EA">
        <w:trPr>
          <w:trHeight w:val="460"/>
        </w:trPr>
        <w:tc>
          <w:tcPr>
            <w:tcW w:w="2518" w:type="dxa"/>
            <w:vMerge/>
          </w:tcPr>
          <w:p w14:paraId="6F599862"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5B37C7F5" w14:textId="77777777" w:rsidR="004F0329" w:rsidRPr="004F0329" w:rsidRDefault="004F0329" w:rsidP="004F0329">
            <w:pPr>
              <w:spacing w:before="120" w:after="0" w:line="240" w:lineRule="auto"/>
              <w:ind w:left="317" w:hanging="317"/>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nadoknadu dodatnih troškova zapošljavanja radnika s invaliditetom (čl. 34.)</w:t>
            </w:r>
          </w:p>
          <w:p w14:paraId="05FEF2A0" w14:textId="77777777" w:rsidR="004F0329" w:rsidRPr="004F0329" w:rsidRDefault="004F0329" w:rsidP="004F0329">
            <w:pPr>
              <w:spacing w:before="120" w:after="0" w:line="240" w:lineRule="auto"/>
              <w:ind w:left="317" w:hanging="317"/>
              <w:jc w:val="both"/>
              <w:rPr>
                <w:rFonts w:ascii="Times New Roman" w:eastAsia="Times New Roman" w:hAnsi="Times New Roman"/>
                <w:bCs/>
                <w:noProof/>
                <w:sz w:val="24"/>
                <w:szCs w:val="24"/>
                <w:lang w:val="en-GB" w:eastAsia="en-US" w:bidi="ar-SA"/>
              </w:rPr>
            </w:pPr>
          </w:p>
        </w:tc>
        <w:tc>
          <w:tcPr>
            <w:tcW w:w="1440" w:type="dxa"/>
            <w:gridSpan w:val="2"/>
          </w:tcPr>
          <w:p w14:paraId="20AE97D4"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6503603A"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6F62BDAB" w14:textId="77777777" w:rsidTr="006925EA">
        <w:trPr>
          <w:trHeight w:val="460"/>
        </w:trPr>
        <w:tc>
          <w:tcPr>
            <w:tcW w:w="2518" w:type="dxa"/>
            <w:vMerge/>
          </w:tcPr>
          <w:p w14:paraId="15D97238"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51FF8F88" w14:textId="77777777" w:rsidR="004F0329" w:rsidRPr="004F0329" w:rsidRDefault="004F0329" w:rsidP="004F0329">
            <w:pPr>
              <w:spacing w:before="120" w:after="0" w:line="240" w:lineRule="auto"/>
              <w:ind w:left="317" w:hanging="317"/>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nadoknadu troškova pomoći pružene radnicima u nepovoljnom položaju (čl. 35.)</w:t>
            </w:r>
          </w:p>
          <w:p w14:paraId="54322F4B"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p>
        </w:tc>
        <w:tc>
          <w:tcPr>
            <w:tcW w:w="1440" w:type="dxa"/>
            <w:gridSpan w:val="2"/>
          </w:tcPr>
          <w:p w14:paraId="244D36C0"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413A29CF"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5E6E36B" w14:textId="77777777" w:rsidTr="006925EA">
        <w:trPr>
          <w:trHeight w:val="90"/>
        </w:trPr>
        <w:tc>
          <w:tcPr>
            <w:tcW w:w="2518" w:type="dxa"/>
            <w:vMerge w:val="restart"/>
          </w:tcPr>
          <w:p w14:paraId="3A13304C" w14:textId="77777777" w:rsidR="004F0329" w:rsidRPr="00C353F2" w:rsidRDefault="004F0329" w:rsidP="004F0329">
            <w:pPr>
              <w:spacing w:before="120" w:after="0" w:line="240" w:lineRule="auto"/>
              <w:ind w:left="284" w:hanging="284"/>
              <w:jc w:val="both"/>
              <w:rPr>
                <w:rFonts w:ascii="Times New Roman" w:eastAsia="Times New Roman" w:hAnsi="Times New Roman"/>
                <w:noProof/>
                <w:sz w:val="24"/>
                <w:szCs w:val="24"/>
                <w:lang w:eastAsia="en-US" w:bidi="ar-SA"/>
              </w:rPr>
            </w:pPr>
            <w:r w:rsidRPr="00C353F2">
              <w:rPr>
                <w:rFonts w:ascii="Times New Roman" w:eastAsia="Times New Roman" w:hAnsi="Times New Roman"/>
                <w:noProof/>
                <w:sz w:val="24"/>
                <w:szCs w:val="24"/>
                <w:lang w:eastAsia="en-US" w:bidi="ar-SA"/>
              </w:rPr>
              <w:tab/>
              <w:t xml:space="preserve">Potpore za zaštitu okoliša (čl. 36.–49.) </w:t>
            </w:r>
          </w:p>
        </w:tc>
        <w:tc>
          <w:tcPr>
            <w:tcW w:w="4250" w:type="dxa"/>
            <w:gridSpan w:val="2"/>
          </w:tcPr>
          <w:p w14:paraId="0D30B219" w14:textId="77777777" w:rsidR="004F0329" w:rsidRPr="00C353F2" w:rsidRDefault="004F0329" w:rsidP="004F0329">
            <w:pPr>
              <w:spacing w:before="120" w:after="0" w:line="240" w:lineRule="auto"/>
              <w:ind w:left="317" w:hanging="317"/>
              <w:jc w:val="both"/>
              <w:rPr>
                <w:rFonts w:ascii="Times New Roman" w:eastAsia="Times New Roman" w:hAnsi="Times New Roman"/>
                <w:noProof/>
                <w:sz w:val="24"/>
                <w:szCs w:val="24"/>
                <w:lang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C353F2">
              <w:rPr>
                <w:rFonts w:ascii="Times New Roman" w:eastAsia="Times New Roman" w:hAnsi="Times New Roman"/>
                <w:noProof/>
                <w:sz w:val="24"/>
                <w:szCs w:val="24"/>
                <w:lang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C353F2">
              <w:rPr>
                <w:rFonts w:ascii="Times New Roman" w:eastAsia="Times New Roman" w:hAnsi="Times New Roman"/>
                <w:noProof/>
                <w:sz w:val="24"/>
                <w:szCs w:val="24"/>
                <w:lang w:eastAsia="en-US" w:bidi="ar-SA"/>
              </w:rPr>
              <w:t xml:space="preserve"> Potpore za ulaganje u zaštitu okoliša, uključujući dekarbonizaciju (čl. 36.)</w:t>
            </w:r>
          </w:p>
        </w:tc>
        <w:tc>
          <w:tcPr>
            <w:tcW w:w="1440" w:type="dxa"/>
            <w:gridSpan w:val="2"/>
          </w:tcPr>
          <w:p w14:paraId="202D1E6F"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7DF54862"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79C017E5" w14:textId="77777777" w:rsidTr="006925EA">
        <w:trPr>
          <w:trHeight w:val="88"/>
        </w:trPr>
        <w:tc>
          <w:tcPr>
            <w:tcW w:w="2518" w:type="dxa"/>
            <w:vMerge/>
          </w:tcPr>
          <w:p w14:paraId="45AF579D"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72C0F068"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ulaganje u infrastrukturu za punjenje ili opskrbu gorivom (čl. 36.a)</w:t>
            </w:r>
          </w:p>
        </w:tc>
        <w:tc>
          <w:tcPr>
            <w:tcW w:w="1440" w:type="dxa"/>
            <w:gridSpan w:val="2"/>
          </w:tcPr>
          <w:p w14:paraId="6ED3C5D5"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4D59668D"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52C3D84B" w14:textId="77777777" w:rsidTr="006925EA">
        <w:trPr>
          <w:trHeight w:val="88"/>
        </w:trPr>
        <w:tc>
          <w:tcPr>
            <w:tcW w:w="2518" w:type="dxa"/>
            <w:vMerge/>
          </w:tcPr>
          <w:p w14:paraId="5961A2E0"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11B260CA"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ulaganje u nabavu čistih vozila ili vozila s nultim emisijama i prilagodbu vozila (čl. 36.b)</w:t>
            </w:r>
          </w:p>
        </w:tc>
        <w:tc>
          <w:tcPr>
            <w:tcW w:w="1440" w:type="dxa"/>
            <w:gridSpan w:val="2"/>
          </w:tcPr>
          <w:p w14:paraId="0337F110"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1427B7D3"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B1A4FE6" w14:textId="77777777" w:rsidTr="006925EA">
        <w:trPr>
          <w:trHeight w:val="88"/>
        </w:trPr>
        <w:tc>
          <w:tcPr>
            <w:tcW w:w="2518" w:type="dxa"/>
            <w:vMerge/>
          </w:tcPr>
          <w:p w14:paraId="3E4DA065"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430F12CA"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ulaganje u mjere energetske učinkovitosti osim za zgrade (čl. 38.)</w:t>
            </w:r>
          </w:p>
        </w:tc>
        <w:tc>
          <w:tcPr>
            <w:tcW w:w="1440" w:type="dxa"/>
            <w:gridSpan w:val="2"/>
          </w:tcPr>
          <w:p w14:paraId="3450AFE4"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167895DF"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5EB9C43C" w14:textId="77777777" w:rsidTr="006925EA">
        <w:trPr>
          <w:trHeight w:val="293"/>
        </w:trPr>
        <w:tc>
          <w:tcPr>
            <w:tcW w:w="2518" w:type="dxa"/>
            <w:vMerge/>
          </w:tcPr>
          <w:p w14:paraId="2B77F3C3"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33CF4513"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ulaganje u mjere energetske učinkovitosti zgrada (čl. 38.a)</w:t>
            </w:r>
          </w:p>
        </w:tc>
        <w:tc>
          <w:tcPr>
            <w:tcW w:w="1440" w:type="dxa"/>
            <w:gridSpan w:val="2"/>
          </w:tcPr>
          <w:p w14:paraId="3199BD73"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7205AC8E"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1173D7B2" w14:textId="77777777" w:rsidTr="006925EA">
        <w:trPr>
          <w:trHeight w:val="293"/>
        </w:trPr>
        <w:tc>
          <w:tcPr>
            <w:tcW w:w="2518" w:type="dxa"/>
            <w:vMerge/>
          </w:tcPr>
          <w:p w14:paraId="17AA2D5B"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769AC3B0"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olakšavanje sklapanja ugovora o energetskom učinku (čl. 38.b)</w:t>
            </w:r>
          </w:p>
        </w:tc>
        <w:tc>
          <w:tcPr>
            <w:tcW w:w="1440" w:type="dxa"/>
            <w:gridSpan w:val="2"/>
          </w:tcPr>
          <w:p w14:paraId="2A5229A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2D14C91B"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nije primjenjivo</w:t>
            </w:r>
          </w:p>
        </w:tc>
      </w:tr>
      <w:tr w:rsidR="004F0329" w:rsidRPr="004F0329" w14:paraId="3BC4D93A" w14:textId="77777777" w:rsidTr="006925EA">
        <w:trPr>
          <w:trHeight w:val="293"/>
        </w:trPr>
        <w:tc>
          <w:tcPr>
            <w:tcW w:w="2518" w:type="dxa"/>
            <w:vMerge/>
          </w:tcPr>
          <w:p w14:paraId="242674B3"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7257B0DF"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ulaganje u projekte energetske učinkovitosti zgrada u obliku financijskih instrumenata (čl. 39.)</w:t>
            </w:r>
          </w:p>
        </w:tc>
        <w:tc>
          <w:tcPr>
            <w:tcW w:w="1440" w:type="dxa"/>
            <w:gridSpan w:val="2"/>
          </w:tcPr>
          <w:p w14:paraId="29293D8B"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2E2AD1F1"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nije primjenjivo</w:t>
            </w:r>
          </w:p>
        </w:tc>
      </w:tr>
      <w:tr w:rsidR="004F0329" w:rsidRPr="004F0329" w14:paraId="46CFE486" w14:textId="77777777" w:rsidTr="006925EA">
        <w:trPr>
          <w:trHeight w:val="292"/>
        </w:trPr>
        <w:tc>
          <w:tcPr>
            <w:tcW w:w="2518" w:type="dxa"/>
            <w:vMerge/>
          </w:tcPr>
          <w:p w14:paraId="09CE5546"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4BAA11AE" w14:textId="77777777" w:rsidR="004F0329" w:rsidRPr="004F0329" w:rsidRDefault="004F0329" w:rsidP="004F0329">
            <w:pPr>
              <w:spacing w:before="120" w:after="0" w:line="240" w:lineRule="auto"/>
              <w:ind w:left="317" w:hanging="317"/>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ulaganje u promicanje energije iz obnovljivih izvora, vodika iz obnovljivih izvora i visokoučinkovite kogeneracije (čl. 41.)</w:t>
            </w:r>
          </w:p>
        </w:tc>
        <w:tc>
          <w:tcPr>
            <w:tcW w:w="1440" w:type="dxa"/>
            <w:gridSpan w:val="2"/>
          </w:tcPr>
          <w:p w14:paraId="56752357"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66D9A65B"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0BAD1604" w14:textId="77777777" w:rsidTr="006925EA">
        <w:trPr>
          <w:trHeight w:val="88"/>
        </w:trPr>
        <w:tc>
          <w:tcPr>
            <w:tcW w:w="2518" w:type="dxa"/>
            <w:vMerge/>
          </w:tcPr>
          <w:p w14:paraId="307EBF00"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09722012"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Operativne potpore za promicanje električne energije iz obnovljivih izvora (čl. 42.)</w:t>
            </w:r>
          </w:p>
        </w:tc>
        <w:tc>
          <w:tcPr>
            <w:tcW w:w="1440" w:type="dxa"/>
            <w:gridSpan w:val="2"/>
          </w:tcPr>
          <w:p w14:paraId="7A45076F"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453B36AB"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F05002E" w14:textId="77777777" w:rsidTr="006925EA">
        <w:trPr>
          <w:trHeight w:val="88"/>
        </w:trPr>
        <w:tc>
          <w:tcPr>
            <w:tcW w:w="2518" w:type="dxa"/>
            <w:vMerge/>
          </w:tcPr>
          <w:p w14:paraId="0A324D68"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46D039DD"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Operativne potpore za promicanje energije iz obnovljivih izvora i vodika iz obnovljivih izvora u malim projektima i zajednicama obnovljive energije (čl. 43.)</w:t>
            </w:r>
          </w:p>
        </w:tc>
        <w:tc>
          <w:tcPr>
            <w:tcW w:w="1440" w:type="dxa"/>
            <w:gridSpan w:val="2"/>
          </w:tcPr>
          <w:p w14:paraId="3D48BE22"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2AB2F8F1"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69C94A4D" w14:textId="77777777" w:rsidTr="006925EA">
        <w:trPr>
          <w:trHeight w:val="88"/>
        </w:trPr>
        <w:tc>
          <w:tcPr>
            <w:tcW w:w="2518" w:type="dxa"/>
            <w:vMerge/>
          </w:tcPr>
          <w:p w14:paraId="6DE4BB40"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7AF07E95" w14:textId="77777777" w:rsidR="004F0329" w:rsidRPr="004F0329" w:rsidRDefault="004F0329" w:rsidP="004F0329">
            <w:pPr>
              <w:spacing w:before="120" w:after="0" w:line="240" w:lineRule="auto"/>
              <w:ind w:left="317" w:hanging="317"/>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u obliku smanjenja poreza u skladu s Direktivom 2003/96/EZ (čl. 44.)</w:t>
            </w:r>
          </w:p>
        </w:tc>
        <w:tc>
          <w:tcPr>
            <w:tcW w:w="1440" w:type="dxa"/>
            <w:gridSpan w:val="2"/>
          </w:tcPr>
          <w:p w14:paraId="77350F8A"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49A21340"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nije primjenjivo</w:t>
            </w:r>
          </w:p>
        </w:tc>
      </w:tr>
      <w:tr w:rsidR="004F0329" w:rsidRPr="004F0329" w14:paraId="56954F83" w14:textId="77777777" w:rsidTr="006925EA">
        <w:trPr>
          <w:trHeight w:val="88"/>
        </w:trPr>
        <w:tc>
          <w:tcPr>
            <w:tcW w:w="2518" w:type="dxa"/>
            <w:vMerge/>
          </w:tcPr>
          <w:p w14:paraId="6A3453D2"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7480960C"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u obliku smanjenja poreza za zaštitu okoliša i parafiskalnih nameta (čl. 44.a)</w:t>
            </w:r>
          </w:p>
        </w:tc>
        <w:tc>
          <w:tcPr>
            <w:tcW w:w="1440" w:type="dxa"/>
            <w:gridSpan w:val="2"/>
          </w:tcPr>
          <w:p w14:paraId="040946BF"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72EBAE94"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nije primjenjivo</w:t>
            </w:r>
          </w:p>
        </w:tc>
      </w:tr>
      <w:tr w:rsidR="004F0329" w:rsidRPr="004F0329" w14:paraId="7DDAD6BF" w14:textId="77777777" w:rsidTr="006925EA">
        <w:trPr>
          <w:trHeight w:val="88"/>
        </w:trPr>
        <w:tc>
          <w:tcPr>
            <w:tcW w:w="2518" w:type="dxa"/>
            <w:vMerge/>
          </w:tcPr>
          <w:p w14:paraId="39183639"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70E4F62E"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ulaganje u zbrinjavanje štete u okolišu, oporavak prirodnih staništa i ekosustava, zaštitu ili obnovu bioraznolikosti i provedbu prirodnih rješenja za prilagodbu klimatskim promjenama i njihovo ublažavanje (čl. 45.)</w:t>
            </w:r>
          </w:p>
        </w:tc>
        <w:tc>
          <w:tcPr>
            <w:tcW w:w="1440" w:type="dxa"/>
            <w:gridSpan w:val="2"/>
          </w:tcPr>
          <w:p w14:paraId="1AC53BDF"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1B96A8EA"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9647230" w14:textId="77777777" w:rsidTr="006925EA">
        <w:trPr>
          <w:trHeight w:val="88"/>
        </w:trPr>
        <w:tc>
          <w:tcPr>
            <w:tcW w:w="2518" w:type="dxa"/>
            <w:vMerge/>
          </w:tcPr>
          <w:p w14:paraId="4F6D5100"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2FC95155"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ulaganje u energetski učinkovito centralizirano grijanje i/ili hlađenje (čl. 46.)</w:t>
            </w:r>
          </w:p>
        </w:tc>
        <w:tc>
          <w:tcPr>
            <w:tcW w:w="1440" w:type="dxa"/>
            <w:gridSpan w:val="2"/>
          </w:tcPr>
          <w:p w14:paraId="5941E5AC"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5014CF60"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BF26556" w14:textId="77777777" w:rsidTr="006925EA">
        <w:trPr>
          <w:trHeight w:val="88"/>
        </w:trPr>
        <w:tc>
          <w:tcPr>
            <w:tcW w:w="2518" w:type="dxa"/>
            <w:vMerge/>
          </w:tcPr>
          <w:p w14:paraId="2D7D6CE3"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3FC704F3" w14:textId="77777777" w:rsidR="004F0329" w:rsidRPr="004F0329" w:rsidRDefault="004F0329" w:rsidP="004F0329">
            <w:pPr>
              <w:spacing w:before="120" w:after="0" w:line="240" w:lineRule="auto"/>
              <w:ind w:left="317" w:hanging="317"/>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ulaganje u učinkovitu upotrebu resursa i za podupiranje prelaska na kružno gospodarstvo (čl. 47.)</w:t>
            </w:r>
          </w:p>
        </w:tc>
        <w:tc>
          <w:tcPr>
            <w:tcW w:w="1440" w:type="dxa"/>
            <w:gridSpan w:val="2"/>
          </w:tcPr>
          <w:p w14:paraId="5115B8DD"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4961E747"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00264B2D" w14:textId="77777777" w:rsidTr="006925EA">
        <w:trPr>
          <w:trHeight w:val="701"/>
        </w:trPr>
        <w:tc>
          <w:tcPr>
            <w:tcW w:w="2518" w:type="dxa"/>
            <w:vMerge/>
          </w:tcPr>
          <w:p w14:paraId="2D266637"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352C1AE2" w14:textId="77777777" w:rsidR="004F0329" w:rsidRPr="004F0329" w:rsidRDefault="004F0329" w:rsidP="004F0329">
            <w:pPr>
              <w:spacing w:before="120" w:after="0" w:line="240" w:lineRule="auto"/>
              <w:ind w:left="317" w:hanging="317"/>
              <w:jc w:val="both"/>
              <w:rPr>
                <w:rFonts w:ascii="Times New Roman" w:eastAsia="Times New Roman" w:hAnsi="Times New Roman"/>
                <w:bCs/>
                <w:noProof/>
                <w:sz w:val="24"/>
                <w:szCs w:val="24"/>
                <w:lang w:val="fr-BE"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fr-BE"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fr-BE" w:eastAsia="en-US" w:bidi="ar-SA"/>
              </w:rPr>
              <w:t xml:space="preserve"> Potpore za ulaganje u energetsku infrastrukturu (čl. 48.)</w:t>
            </w:r>
          </w:p>
        </w:tc>
        <w:tc>
          <w:tcPr>
            <w:tcW w:w="1440" w:type="dxa"/>
            <w:gridSpan w:val="2"/>
          </w:tcPr>
          <w:p w14:paraId="78100DD7"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1AEFE4B9"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AF45CED" w14:textId="77777777" w:rsidTr="006925EA">
        <w:trPr>
          <w:trHeight w:val="1117"/>
        </w:trPr>
        <w:tc>
          <w:tcPr>
            <w:tcW w:w="2518" w:type="dxa"/>
            <w:vMerge/>
          </w:tcPr>
          <w:p w14:paraId="581EB924"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2DB171F9"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studije i usluge savjetovanja u pogledu zaštite okoliša i energetskih pitanja (čl. 49.)</w:t>
            </w:r>
          </w:p>
        </w:tc>
        <w:tc>
          <w:tcPr>
            <w:tcW w:w="1440" w:type="dxa"/>
            <w:gridSpan w:val="2"/>
          </w:tcPr>
          <w:p w14:paraId="0B6E21CC"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1B13356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78784DB5" w14:textId="77777777" w:rsidTr="006925EA">
        <w:trPr>
          <w:trHeight w:val="88"/>
        </w:trPr>
        <w:tc>
          <w:tcPr>
            <w:tcW w:w="2518" w:type="dxa"/>
            <w:vMerge w:val="restart"/>
          </w:tcPr>
          <w:p w14:paraId="1B9DC5E5" w14:textId="77777777" w:rsidR="004F0329" w:rsidRPr="00C353F2" w:rsidRDefault="004F0329" w:rsidP="004F0329">
            <w:pPr>
              <w:spacing w:before="120" w:after="0" w:line="240" w:lineRule="auto"/>
              <w:ind w:left="284" w:hanging="284"/>
              <w:jc w:val="both"/>
              <w:rPr>
                <w:rFonts w:ascii="Times New Roman" w:eastAsia="Times New Roman" w:hAnsi="Times New Roman"/>
                <w:bCs/>
                <w:noProof/>
                <w:sz w:val="24"/>
                <w:szCs w:val="24"/>
                <w:lang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C353F2">
              <w:rPr>
                <w:rFonts w:ascii="Times New Roman" w:eastAsia="Times New Roman" w:hAnsi="Times New Roman"/>
                <w:noProof/>
                <w:sz w:val="24"/>
                <w:szCs w:val="24"/>
                <w:lang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C353F2">
              <w:rPr>
                <w:rFonts w:ascii="Times New Roman" w:eastAsia="Times New Roman" w:hAnsi="Times New Roman"/>
                <w:noProof/>
                <w:sz w:val="24"/>
                <w:szCs w:val="24"/>
                <w:lang w:eastAsia="en-US" w:bidi="ar-SA"/>
              </w:rPr>
              <w:t xml:space="preserve"> Programi potpora za nadoknadu štete prouzročene određenim prirodnim katastrofama (čl. 50.)</w:t>
            </w:r>
          </w:p>
        </w:tc>
        <w:tc>
          <w:tcPr>
            <w:tcW w:w="4250" w:type="dxa"/>
            <w:gridSpan w:val="2"/>
          </w:tcPr>
          <w:p w14:paraId="0EBD94D9"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Maksimalni intenzitet potpore</w:t>
            </w:r>
          </w:p>
        </w:tc>
        <w:tc>
          <w:tcPr>
            <w:tcW w:w="1440" w:type="dxa"/>
            <w:gridSpan w:val="2"/>
          </w:tcPr>
          <w:p w14:paraId="1A03F43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24BCC257"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097B7634" w14:textId="77777777" w:rsidTr="006925EA">
        <w:trPr>
          <w:trHeight w:val="88"/>
        </w:trPr>
        <w:tc>
          <w:tcPr>
            <w:tcW w:w="2518" w:type="dxa"/>
            <w:vMerge/>
          </w:tcPr>
          <w:p w14:paraId="3A4A0B3F"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459E3858"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Vrsta prirodne katastrofe</w:t>
            </w:r>
          </w:p>
        </w:tc>
        <w:tc>
          <w:tcPr>
            <w:tcW w:w="2520" w:type="dxa"/>
            <w:gridSpan w:val="3"/>
          </w:tcPr>
          <w:p w14:paraId="61E4543E" w14:textId="77777777" w:rsidR="004F0329" w:rsidRPr="004F0329" w:rsidRDefault="004F0329" w:rsidP="004F0329">
            <w:pPr>
              <w:spacing w:before="40" w:after="4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b/>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b/>
                <w:noProof/>
                <w:sz w:val="24"/>
                <w:szCs w:val="24"/>
                <w:lang w:val="en-GB" w:eastAsia="en-US" w:bidi="ar-SA"/>
              </w:rPr>
              <w:instrText xml:space="preserve"> FORMCHECKBOX </w:instrText>
            </w:r>
            <w:r w:rsidR="00111F98">
              <w:rPr>
                <w:rFonts w:ascii="Times New Roman" w:eastAsia="Times New Roman" w:hAnsi="Times New Roman"/>
                <w:b/>
                <w:noProof/>
                <w:sz w:val="24"/>
                <w:szCs w:val="24"/>
                <w:lang w:val="en-GB" w:eastAsia="en-US" w:bidi="ar-SA"/>
              </w:rPr>
            </w:r>
            <w:r w:rsidR="00111F98">
              <w:rPr>
                <w:rFonts w:ascii="Times New Roman" w:eastAsia="Times New Roman" w:hAnsi="Times New Roman"/>
                <w:b/>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potres</w:t>
            </w:r>
          </w:p>
          <w:p w14:paraId="0F80CB48" w14:textId="77777777" w:rsidR="004F0329" w:rsidRPr="004F0329" w:rsidRDefault="004F0329" w:rsidP="004F0329">
            <w:pPr>
              <w:spacing w:before="120" w:after="4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lavina</w:t>
            </w:r>
          </w:p>
          <w:p w14:paraId="5B034D31" w14:textId="77777777" w:rsidR="004F0329" w:rsidRPr="004F0329" w:rsidRDefault="004F0329" w:rsidP="004F0329">
            <w:pPr>
              <w:spacing w:before="120" w:after="4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odron tla</w:t>
            </w:r>
          </w:p>
          <w:p w14:paraId="28B527F2" w14:textId="77777777" w:rsidR="004F0329" w:rsidRPr="004F0329" w:rsidRDefault="004F0329" w:rsidP="004F0329">
            <w:pPr>
              <w:spacing w:before="120" w:after="4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poplava</w:t>
            </w:r>
          </w:p>
          <w:p w14:paraId="48CA2BE8" w14:textId="77777777" w:rsidR="004F0329" w:rsidRPr="004F0329" w:rsidRDefault="004F0329" w:rsidP="004F0329">
            <w:pPr>
              <w:spacing w:before="120" w:after="4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tornado</w:t>
            </w:r>
          </w:p>
          <w:p w14:paraId="0F033794" w14:textId="77777777" w:rsidR="004F0329" w:rsidRPr="004F0329" w:rsidRDefault="004F0329" w:rsidP="004F0329">
            <w:pPr>
              <w:spacing w:before="120" w:after="4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uragan</w:t>
            </w:r>
          </w:p>
          <w:p w14:paraId="0977E982" w14:textId="77777777" w:rsidR="004F0329" w:rsidRPr="004F0329" w:rsidRDefault="004F0329" w:rsidP="004F0329">
            <w:pPr>
              <w:spacing w:before="120" w:after="4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erupcija vulkana</w:t>
            </w:r>
          </w:p>
          <w:p w14:paraId="5845D14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šumski požar</w:t>
            </w:r>
          </w:p>
        </w:tc>
      </w:tr>
      <w:tr w:rsidR="004F0329" w:rsidRPr="004F0329" w14:paraId="6908C5A3" w14:textId="77777777" w:rsidTr="006925EA">
        <w:trPr>
          <w:trHeight w:val="88"/>
        </w:trPr>
        <w:tc>
          <w:tcPr>
            <w:tcW w:w="2518" w:type="dxa"/>
            <w:vMerge/>
          </w:tcPr>
          <w:p w14:paraId="60726CB3"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20C0F7A1"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Datum nastupanja prirodne katastrofe</w:t>
            </w:r>
          </w:p>
        </w:tc>
        <w:tc>
          <w:tcPr>
            <w:tcW w:w="2520" w:type="dxa"/>
            <w:gridSpan w:val="3"/>
          </w:tcPr>
          <w:p w14:paraId="25E8A4D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 xml:space="preserve">Od dd/mm/gggg </w:t>
            </w:r>
            <w:r w:rsidRPr="004F0329">
              <w:rPr>
                <w:rFonts w:ascii="Times New Roman" w:eastAsia="Times New Roman" w:hAnsi="Times New Roman"/>
                <w:b/>
                <w:noProof/>
                <w:sz w:val="24"/>
                <w:szCs w:val="24"/>
                <w:lang w:val="en-GB" w:eastAsia="en-US" w:bidi="ar-SA"/>
              </w:rPr>
              <w:t>do</w:t>
            </w:r>
            <w:r w:rsidRPr="004F0329">
              <w:rPr>
                <w:rFonts w:ascii="Times New Roman" w:eastAsia="Times New Roman" w:hAnsi="Times New Roman"/>
                <w:noProof/>
                <w:sz w:val="24"/>
                <w:szCs w:val="24"/>
                <w:lang w:val="en-GB" w:eastAsia="en-US" w:bidi="ar-SA"/>
              </w:rPr>
              <w:t xml:space="preserve"> dd/mm/gggg</w:t>
            </w:r>
          </w:p>
        </w:tc>
      </w:tr>
      <w:tr w:rsidR="004F0329" w:rsidRPr="004F0329" w14:paraId="362C046E" w14:textId="77777777" w:rsidTr="006925EA">
        <w:trPr>
          <w:trHeight w:val="88"/>
        </w:trPr>
        <w:tc>
          <w:tcPr>
            <w:tcW w:w="6768" w:type="dxa"/>
            <w:gridSpan w:val="3"/>
          </w:tcPr>
          <w:p w14:paraId="1092EFE2" w14:textId="77777777" w:rsidR="004F0329" w:rsidRPr="00C353F2" w:rsidRDefault="004F0329" w:rsidP="004F0329">
            <w:pPr>
              <w:spacing w:before="120" w:after="0" w:line="240" w:lineRule="auto"/>
              <w:ind w:left="284" w:hanging="284"/>
              <w:jc w:val="both"/>
              <w:rPr>
                <w:rFonts w:ascii="Times New Roman" w:eastAsia="Times New Roman" w:hAnsi="Times New Roman"/>
                <w:noProof/>
                <w:sz w:val="24"/>
                <w:szCs w:val="24"/>
                <w:lang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C353F2">
              <w:rPr>
                <w:rFonts w:ascii="Times New Roman" w:eastAsia="Times New Roman" w:hAnsi="Times New Roman"/>
                <w:noProof/>
                <w:sz w:val="24"/>
                <w:szCs w:val="24"/>
                <w:lang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C353F2">
              <w:rPr>
                <w:rFonts w:ascii="Times New Roman" w:eastAsia="Times New Roman" w:hAnsi="Times New Roman"/>
                <w:noProof/>
                <w:sz w:val="24"/>
                <w:szCs w:val="24"/>
                <w:lang w:eastAsia="en-US" w:bidi="ar-SA"/>
              </w:rPr>
              <w:t xml:space="preserve"> Socijalne potpore za prijevoz stanovnika udaljenih regija (čl. 51.)</w:t>
            </w:r>
          </w:p>
        </w:tc>
        <w:tc>
          <w:tcPr>
            <w:tcW w:w="1440" w:type="dxa"/>
            <w:gridSpan w:val="2"/>
          </w:tcPr>
          <w:p w14:paraId="700979A1"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368C0F19"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0FC1DD79" w14:textId="77777777" w:rsidTr="006925EA">
        <w:trPr>
          <w:trHeight w:val="88"/>
        </w:trPr>
        <w:tc>
          <w:tcPr>
            <w:tcW w:w="6768" w:type="dxa"/>
            <w:gridSpan w:val="3"/>
          </w:tcPr>
          <w:p w14:paraId="51B2BB57" w14:textId="77777777" w:rsidR="004F0329" w:rsidRPr="00C353F2" w:rsidRDefault="004F0329" w:rsidP="004F0329">
            <w:pPr>
              <w:spacing w:before="120" w:after="0" w:line="240" w:lineRule="auto"/>
              <w:ind w:left="284" w:hanging="284"/>
              <w:jc w:val="both"/>
              <w:rPr>
                <w:rFonts w:ascii="Times New Roman" w:eastAsia="Times New Roman" w:hAnsi="Times New Roman"/>
                <w:noProof/>
                <w:sz w:val="24"/>
                <w:szCs w:val="24"/>
                <w:lang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C353F2">
              <w:rPr>
                <w:rFonts w:ascii="Times New Roman" w:eastAsia="Times New Roman" w:hAnsi="Times New Roman"/>
                <w:noProof/>
                <w:sz w:val="24"/>
                <w:szCs w:val="24"/>
                <w:lang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C353F2">
              <w:rPr>
                <w:rFonts w:ascii="Times New Roman" w:eastAsia="Times New Roman" w:hAnsi="Times New Roman"/>
                <w:noProof/>
                <w:sz w:val="24"/>
                <w:szCs w:val="24"/>
                <w:lang w:eastAsia="en-US" w:bidi="ar-SA"/>
              </w:rPr>
              <w:t xml:space="preserve"> Potpore za fiksne širokopojasne mreže (čl. 52.)</w:t>
            </w:r>
          </w:p>
        </w:tc>
        <w:tc>
          <w:tcPr>
            <w:tcW w:w="1440" w:type="dxa"/>
            <w:gridSpan w:val="2"/>
          </w:tcPr>
          <w:p w14:paraId="50C9C81B"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 xml:space="preserve">…nacionalna valuta </w:t>
            </w:r>
          </w:p>
        </w:tc>
        <w:tc>
          <w:tcPr>
            <w:tcW w:w="1080" w:type="dxa"/>
          </w:tcPr>
          <w:p w14:paraId="680E82EE"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5E8FA010" w14:textId="77777777" w:rsidTr="006925EA">
        <w:trPr>
          <w:trHeight w:val="88"/>
        </w:trPr>
        <w:tc>
          <w:tcPr>
            <w:tcW w:w="6768" w:type="dxa"/>
            <w:gridSpan w:val="3"/>
          </w:tcPr>
          <w:p w14:paraId="1B5A2BD9"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mobilne mreže 4G i 5G (čl. 52.a)</w:t>
            </w:r>
          </w:p>
        </w:tc>
        <w:tc>
          <w:tcPr>
            <w:tcW w:w="1440" w:type="dxa"/>
            <w:gridSpan w:val="2"/>
          </w:tcPr>
          <w:p w14:paraId="6D50E2D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531B6F74"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622ED6BF" w14:textId="77777777" w:rsidTr="006925EA">
        <w:trPr>
          <w:trHeight w:val="88"/>
        </w:trPr>
        <w:tc>
          <w:tcPr>
            <w:tcW w:w="6768" w:type="dxa"/>
            <w:gridSpan w:val="3"/>
          </w:tcPr>
          <w:p w14:paraId="46FC675E" w14:textId="77777777" w:rsidR="004F0329" w:rsidRPr="00C353F2" w:rsidRDefault="004F0329" w:rsidP="004F0329">
            <w:pPr>
              <w:spacing w:before="120" w:after="0" w:line="240" w:lineRule="auto"/>
              <w:ind w:left="284" w:hanging="284"/>
              <w:jc w:val="both"/>
              <w:rPr>
                <w:rFonts w:ascii="Times New Roman" w:eastAsia="Times New Roman" w:hAnsi="Times New Roman"/>
                <w:noProof/>
                <w:sz w:val="24"/>
                <w:szCs w:val="24"/>
                <w:lang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C353F2">
              <w:rPr>
                <w:rFonts w:ascii="Times New Roman" w:eastAsia="Times New Roman" w:hAnsi="Times New Roman"/>
                <w:noProof/>
                <w:sz w:val="24"/>
                <w:szCs w:val="24"/>
                <w:lang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C353F2">
              <w:rPr>
                <w:rFonts w:ascii="Times New Roman" w:eastAsia="Times New Roman" w:hAnsi="Times New Roman"/>
                <w:noProof/>
                <w:sz w:val="24"/>
                <w:szCs w:val="24"/>
                <w:lang w:eastAsia="en-US" w:bidi="ar-SA"/>
              </w:rPr>
              <w:t xml:space="preserve"> Potpore za projekte od zajedničkog interesa u području transeuropske infrastrukture za digitalno povezivanje (čl. 52.b)</w:t>
            </w:r>
          </w:p>
        </w:tc>
        <w:tc>
          <w:tcPr>
            <w:tcW w:w="1440" w:type="dxa"/>
            <w:gridSpan w:val="2"/>
          </w:tcPr>
          <w:p w14:paraId="5C166E05"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63878CBB"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53F7222F" w14:textId="77777777" w:rsidTr="006925EA">
        <w:trPr>
          <w:trHeight w:val="88"/>
        </w:trPr>
        <w:tc>
          <w:tcPr>
            <w:tcW w:w="6768" w:type="dxa"/>
            <w:gridSpan w:val="3"/>
          </w:tcPr>
          <w:p w14:paraId="39F13E0B" w14:textId="77777777" w:rsidR="004F0329" w:rsidRPr="00C353F2" w:rsidRDefault="004F0329" w:rsidP="004F0329">
            <w:pPr>
              <w:spacing w:before="120" w:after="0" w:line="240" w:lineRule="auto"/>
              <w:ind w:left="284" w:hanging="284"/>
              <w:jc w:val="both"/>
              <w:rPr>
                <w:rFonts w:ascii="Times New Roman" w:eastAsia="Times New Roman" w:hAnsi="Times New Roman"/>
                <w:noProof/>
                <w:sz w:val="24"/>
                <w:szCs w:val="24"/>
                <w:lang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C353F2">
              <w:rPr>
                <w:rFonts w:ascii="Times New Roman" w:eastAsia="Times New Roman" w:hAnsi="Times New Roman"/>
                <w:noProof/>
                <w:sz w:val="24"/>
                <w:szCs w:val="24"/>
                <w:lang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C353F2">
              <w:rPr>
                <w:rFonts w:ascii="Times New Roman" w:eastAsia="Times New Roman" w:hAnsi="Times New Roman"/>
                <w:noProof/>
                <w:sz w:val="24"/>
                <w:szCs w:val="24"/>
                <w:lang w:eastAsia="en-US" w:bidi="ar-SA"/>
              </w:rPr>
              <w:t xml:space="preserve"> Vaučeri za povezivost (čl. 52.c)</w:t>
            </w:r>
          </w:p>
        </w:tc>
        <w:tc>
          <w:tcPr>
            <w:tcW w:w="1440" w:type="dxa"/>
            <w:gridSpan w:val="2"/>
          </w:tcPr>
          <w:p w14:paraId="76E611F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734C5F76"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3A3635F" w14:textId="77777777" w:rsidTr="006925EA">
        <w:trPr>
          <w:trHeight w:val="88"/>
        </w:trPr>
        <w:tc>
          <w:tcPr>
            <w:tcW w:w="6768" w:type="dxa"/>
            <w:gridSpan w:val="3"/>
          </w:tcPr>
          <w:p w14:paraId="4AE749B4"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Potpore za prijenosne mreže (čl. 52.d)</w:t>
            </w:r>
          </w:p>
        </w:tc>
        <w:tc>
          <w:tcPr>
            <w:tcW w:w="1440" w:type="dxa"/>
            <w:gridSpan w:val="2"/>
          </w:tcPr>
          <w:p w14:paraId="2603560F"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690944DB"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0323D19B" w14:textId="77777777" w:rsidTr="006925EA">
        <w:trPr>
          <w:trHeight w:val="88"/>
        </w:trPr>
        <w:tc>
          <w:tcPr>
            <w:tcW w:w="6768" w:type="dxa"/>
            <w:gridSpan w:val="3"/>
          </w:tcPr>
          <w:p w14:paraId="4E27F6DF" w14:textId="77777777" w:rsidR="004F0329" w:rsidRPr="00C353F2" w:rsidRDefault="004F0329" w:rsidP="004F0329">
            <w:pPr>
              <w:spacing w:before="120" w:after="0" w:line="240" w:lineRule="auto"/>
              <w:ind w:left="317" w:hanging="317"/>
              <w:jc w:val="both"/>
              <w:rPr>
                <w:rFonts w:ascii="Times New Roman" w:eastAsia="Times New Roman" w:hAnsi="Times New Roman"/>
                <w:noProof/>
                <w:sz w:val="24"/>
                <w:szCs w:val="24"/>
                <w:lang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C353F2">
              <w:rPr>
                <w:rFonts w:ascii="Times New Roman" w:eastAsia="Times New Roman" w:hAnsi="Times New Roman"/>
                <w:noProof/>
                <w:sz w:val="24"/>
                <w:szCs w:val="24"/>
                <w:lang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C353F2">
              <w:rPr>
                <w:rFonts w:ascii="Times New Roman" w:eastAsia="Times New Roman" w:hAnsi="Times New Roman"/>
                <w:noProof/>
                <w:sz w:val="24"/>
                <w:szCs w:val="24"/>
                <w:lang w:eastAsia="en-US" w:bidi="ar-SA"/>
              </w:rPr>
              <w:t xml:space="preserve"> Potpore za kulturu i očuvanje baštine (čl. 53.)</w:t>
            </w:r>
          </w:p>
        </w:tc>
        <w:tc>
          <w:tcPr>
            <w:tcW w:w="1440" w:type="dxa"/>
            <w:gridSpan w:val="2"/>
          </w:tcPr>
          <w:p w14:paraId="6E36AE2A"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42C46357" w14:textId="77777777" w:rsidR="004F0329" w:rsidRPr="004F0329" w:rsidRDefault="004F0329" w:rsidP="004F0329">
            <w:pPr>
              <w:spacing w:before="120" w:after="0" w:line="240" w:lineRule="auto"/>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A0CB686" w14:textId="77777777" w:rsidTr="006925EA">
        <w:trPr>
          <w:trHeight w:val="88"/>
        </w:trPr>
        <w:tc>
          <w:tcPr>
            <w:tcW w:w="6768" w:type="dxa"/>
            <w:gridSpan w:val="3"/>
          </w:tcPr>
          <w:p w14:paraId="102CE859" w14:textId="77777777" w:rsidR="004F0329" w:rsidRPr="004F0329" w:rsidRDefault="004F0329" w:rsidP="004F0329">
            <w:pPr>
              <w:spacing w:before="120" w:after="0" w:line="240" w:lineRule="auto"/>
              <w:ind w:left="317" w:hanging="317"/>
              <w:jc w:val="both"/>
              <w:rPr>
                <w:rFonts w:ascii="Times New Roman" w:eastAsia="Times New Roman" w:hAnsi="Times New Roman"/>
                <w:noProof/>
                <w:sz w:val="24"/>
                <w:szCs w:val="24"/>
                <w:lang w:val="fr-BE"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fr-BE"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fr-BE" w:eastAsia="en-US" w:bidi="ar-SA"/>
              </w:rPr>
              <w:t xml:space="preserve"> Programi potpora za audiovizualna djela (čl. 54.)</w:t>
            </w:r>
          </w:p>
        </w:tc>
        <w:tc>
          <w:tcPr>
            <w:tcW w:w="1440" w:type="dxa"/>
            <w:gridSpan w:val="2"/>
          </w:tcPr>
          <w:p w14:paraId="25DA6B4A"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080" w:type="dxa"/>
          </w:tcPr>
          <w:p w14:paraId="4752AEE7"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7F59A640" w14:textId="77777777" w:rsidTr="006925EA">
        <w:trPr>
          <w:trHeight w:val="88"/>
        </w:trPr>
        <w:tc>
          <w:tcPr>
            <w:tcW w:w="6768" w:type="dxa"/>
            <w:gridSpan w:val="3"/>
          </w:tcPr>
          <w:p w14:paraId="64C30E04" w14:textId="77777777" w:rsidR="004F0329" w:rsidRPr="00C353F2" w:rsidRDefault="004F0329" w:rsidP="004F0329">
            <w:pPr>
              <w:spacing w:before="120" w:after="0" w:line="240" w:lineRule="auto"/>
              <w:ind w:left="284" w:hanging="284"/>
              <w:jc w:val="both"/>
              <w:rPr>
                <w:rFonts w:ascii="Times New Roman" w:eastAsia="Times New Roman" w:hAnsi="Times New Roman"/>
                <w:noProof/>
                <w:sz w:val="24"/>
                <w:szCs w:val="24"/>
                <w:lang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C353F2">
              <w:rPr>
                <w:rFonts w:ascii="Times New Roman" w:eastAsia="Times New Roman" w:hAnsi="Times New Roman"/>
                <w:noProof/>
                <w:sz w:val="24"/>
                <w:szCs w:val="24"/>
                <w:lang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C353F2">
              <w:rPr>
                <w:rFonts w:ascii="Times New Roman" w:eastAsia="Times New Roman" w:hAnsi="Times New Roman"/>
                <w:noProof/>
                <w:sz w:val="24"/>
                <w:szCs w:val="24"/>
                <w:lang w:eastAsia="en-US" w:bidi="ar-SA"/>
              </w:rPr>
              <w:t xml:space="preserve"> Potpore za sportsku i višenamjensku rekreativnu infrastrukturu (čl. 55.)</w:t>
            </w:r>
          </w:p>
        </w:tc>
        <w:tc>
          <w:tcPr>
            <w:tcW w:w="1420" w:type="dxa"/>
          </w:tcPr>
          <w:p w14:paraId="29FD9967"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100" w:type="dxa"/>
            <w:gridSpan w:val="2"/>
          </w:tcPr>
          <w:p w14:paraId="00F2D81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0028DED6" w14:textId="77777777" w:rsidTr="006925EA">
        <w:trPr>
          <w:trHeight w:val="88"/>
        </w:trPr>
        <w:tc>
          <w:tcPr>
            <w:tcW w:w="6768" w:type="dxa"/>
            <w:gridSpan w:val="3"/>
          </w:tcPr>
          <w:p w14:paraId="2D4BDDAA"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fr-BE"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fr-BE"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fr-BE" w:eastAsia="en-US" w:bidi="ar-SA"/>
              </w:rPr>
              <w:t xml:space="preserve"> Potpore za ulaganje u lokalnu infrastrukturu (čl. 56.)</w:t>
            </w:r>
          </w:p>
        </w:tc>
        <w:tc>
          <w:tcPr>
            <w:tcW w:w="1420" w:type="dxa"/>
          </w:tcPr>
          <w:p w14:paraId="52837DE0"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100" w:type="dxa"/>
            <w:gridSpan w:val="2"/>
          </w:tcPr>
          <w:p w14:paraId="1980E04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5452CB07" w14:textId="77777777" w:rsidTr="006925EA">
        <w:trPr>
          <w:trHeight w:val="88"/>
        </w:trPr>
        <w:tc>
          <w:tcPr>
            <w:tcW w:w="6768" w:type="dxa"/>
            <w:gridSpan w:val="3"/>
          </w:tcPr>
          <w:p w14:paraId="3AF95F74"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regionalne zračne luke (čl. 56.a)</w:t>
            </w:r>
          </w:p>
        </w:tc>
        <w:tc>
          <w:tcPr>
            <w:tcW w:w="1420" w:type="dxa"/>
          </w:tcPr>
          <w:p w14:paraId="0BCFC953"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100" w:type="dxa"/>
            <w:gridSpan w:val="2"/>
          </w:tcPr>
          <w:p w14:paraId="3D6B3165"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0091621D" w14:textId="77777777" w:rsidTr="006925EA">
        <w:trPr>
          <w:trHeight w:val="88"/>
        </w:trPr>
        <w:tc>
          <w:tcPr>
            <w:tcW w:w="6768" w:type="dxa"/>
            <w:gridSpan w:val="3"/>
          </w:tcPr>
          <w:p w14:paraId="0743B57F"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morske luke (čl. 56.b)</w:t>
            </w:r>
          </w:p>
        </w:tc>
        <w:tc>
          <w:tcPr>
            <w:tcW w:w="1420" w:type="dxa"/>
          </w:tcPr>
          <w:p w14:paraId="4B96767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100" w:type="dxa"/>
            <w:gridSpan w:val="2"/>
          </w:tcPr>
          <w:p w14:paraId="664BAF4F"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1680320" w14:textId="77777777" w:rsidTr="006925EA">
        <w:trPr>
          <w:trHeight w:val="88"/>
        </w:trPr>
        <w:tc>
          <w:tcPr>
            <w:tcW w:w="6768" w:type="dxa"/>
            <w:gridSpan w:val="3"/>
          </w:tcPr>
          <w:p w14:paraId="646DA20A" w14:textId="77777777" w:rsidR="004F0329" w:rsidRPr="00C353F2" w:rsidRDefault="004F0329" w:rsidP="004F0329">
            <w:pPr>
              <w:spacing w:before="120" w:after="0" w:line="240" w:lineRule="auto"/>
              <w:ind w:left="284" w:hanging="284"/>
              <w:jc w:val="both"/>
              <w:rPr>
                <w:rFonts w:ascii="Times New Roman" w:eastAsia="Times New Roman" w:hAnsi="Times New Roman"/>
                <w:noProof/>
                <w:sz w:val="24"/>
                <w:szCs w:val="24"/>
                <w:lang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C353F2">
              <w:rPr>
                <w:rFonts w:ascii="Times New Roman" w:eastAsia="Times New Roman" w:hAnsi="Times New Roman"/>
                <w:noProof/>
                <w:sz w:val="24"/>
                <w:szCs w:val="24"/>
                <w:lang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C353F2">
              <w:rPr>
                <w:rFonts w:ascii="Times New Roman" w:eastAsia="Times New Roman" w:hAnsi="Times New Roman"/>
                <w:noProof/>
                <w:sz w:val="24"/>
                <w:szCs w:val="24"/>
                <w:lang w:eastAsia="en-US" w:bidi="ar-SA"/>
              </w:rPr>
              <w:t xml:space="preserve"> Potpore za luke unutarnjih plovnih putova (čl. 56.c)</w:t>
            </w:r>
          </w:p>
        </w:tc>
        <w:tc>
          <w:tcPr>
            <w:tcW w:w="1420" w:type="dxa"/>
          </w:tcPr>
          <w:p w14:paraId="5CEE399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c>
          <w:tcPr>
            <w:tcW w:w="1100" w:type="dxa"/>
            <w:gridSpan w:val="2"/>
          </w:tcPr>
          <w:p w14:paraId="3A253B7D"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77AD13A" w14:textId="77777777" w:rsidTr="006925EA">
        <w:trPr>
          <w:trHeight w:val="210"/>
        </w:trPr>
        <w:tc>
          <w:tcPr>
            <w:tcW w:w="2518" w:type="dxa"/>
            <w:vMerge w:val="restart"/>
          </w:tcPr>
          <w:p w14:paraId="4E4CBEDC"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fr-BE" w:eastAsia="en-US" w:bidi="ar-SA"/>
              </w:rPr>
            </w:pPr>
            <w:r w:rsidRPr="004F0329">
              <w:rPr>
                <w:rFonts w:ascii="Times New Roman" w:eastAsia="Times New Roman" w:hAnsi="Times New Roman"/>
                <w:noProof/>
                <w:sz w:val="24"/>
                <w:szCs w:val="24"/>
                <w:lang w:val="fr-BE" w:eastAsia="en-US" w:bidi="ar-SA"/>
              </w:rPr>
              <w:tab/>
              <w:t>Potpore uključene u financijske proizvode koji se financiraju sredstvima fonda InvestEU (čl. 56.d–56.f)</w:t>
            </w:r>
          </w:p>
          <w:p w14:paraId="7142EEC3"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fr-BE" w:eastAsia="en-US" w:bidi="ar-SA"/>
              </w:rPr>
            </w:pPr>
          </w:p>
        </w:tc>
        <w:tc>
          <w:tcPr>
            <w:tcW w:w="1190" w:type="dxa"/>
            <w:vMerge w:val="restart"/>
          </w:tcPr>
          <w:p w14:paraId="2FCE9DCF"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Čl. 56.e</w:t>
            </w:r>
          </w:p>
          <w:p w14:paraId="2488E87D"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p>
        </w:tc>
        <w:tc>
          <w:tcPr>
            <w:tcW w:w="3060" w:type="dxa"/>
          </w:tcPr>
          <w:p w14:paraId="334BD888"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projekte od zajedničkog interesa u području transeuropske infrastrukture za digitalno povezivanje koji se financiraju u skladu s Uredbom (EU) 2021/1153 ili kojima je dodijeljena oznaka kvalitete „pečat izvrsnosti” u skladu s tom uredbom (čl. 56.e st. 2.)</w:t>
            </w:r>
          </w:p>
        </w:tc>
        <w:tc>
          <w:tcPr>
            <w:tcW w:w="1440" w:type="dxa"/>
            <w:gridSpan w:val="2"/>
          </w:tcPr>
          <w:p w14:paraId="7FBE9A11"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4E297503" w14:textId="77777777" w:rsidR="004F0329" w:rsidRPr="004F0329" w:rsidRDefault="004F0329" w:rsidP="004F0329">
            <w:pPr>
              <w:spacing w:before="120" w:after="0" w:line="240" w:lineRule="auto"/>
              <w:jc w:val="both"/>
              <w:rPr>
                <w:rFonts w:ascii="Times New Roman" w:eastAsia="Times New Roman" w:hAnsi="Times New Roman"/>
                <w:b/>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1A5996D3" w14:textId="77777777" w:rsidTr="006925EA">
        <w:trPr>
          <w:trHeight w:val="210"/>
        </w:trPr>
        <w:tc>
          <w:tcPr>
            <w:tcW w:w="2518" w:type="dxa"/>
            <w:vMerge/>
          </w:tcPr>
          <w:p w14:paraId="2DB96F72"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1190" w:type="dxa"/>
            <w:vMerge/>
          </w:tcPr>
          <w:p w14:paraId="3DF525E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p>
        </w:tc>
        <w:tc>
          <w:tcPr>
            <w:tcW w:w="3060" w:type="dxa"/>
          </w:tcPr>
          <w:p w14:paraId="00BCFA2D"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Potpore za uvođenje fiksnih širokopojasnih mreža i potpore za uvođenje mobilnih mreža 4G i 5G za povezivanje određenih prihvatljivih socioekonomskih pokretača (čl. 56.e st. 3.)</w:t>
            </w:r>
          </w:p>
        </w:tc>
        <w:tc>
          <w:tcPr>
            <w:tcW w:w="1440" w:type="dxa"/>
            <w:gridSpan w:val="2"/>
          </w:tcPr>
          <w:p w14:paraId="6CD6343C"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709EE239"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59603946" w14:textId="77777777" w:rsidTr="006925EA">
        <w:trPr>
          <w:trHeight w:val="210"/>
        </w:trPr>
        <w:tc>
          <w:tcPr>
            <w:tcW w:w="2518" w:type="dxa"/>
            <w:vMerge/>
          </w:tcPr>
          <w:p w14:paraId="79FBE8B4"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1190" w:type="dxa"/>
            <w:vMerge/>
          </w:tcPr>
          <w:p w14:paraId="501B293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p>
        </w:tc>
        <w:tc>
          <w:tcPr>
            <w:tcW w:w="3060" w:type="dxa"/>
          </w:tcPr>
          <w:p w14:paraId="3D0A0012"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proizvodnju energije i energetsku infrastrukturu (čl. 56.e st. 4.)</w:t>
            </w:r>
          </w:p>
        </w:tc>
        <w:tc>
          <w:tcPr>
            <w:tcW w:w="1440" w:type="dxa"/>
            <w:gridSpan w:val="2"/>
          </w:tcPr>
          <w:p w14:paraId="43B1967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0EE74574"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34DC1423" w14:textId="77777777" w:rsidTr="006925EA">
        <w:trPr>
          <w:trHeight w:val="210"/>
        </w:trPr>
        <w:tc>
          <w:tcPr>
            <w:tcW w:w="2518" w:type="dxa"/>
            <w:vMerge/>
          </w:tcPr>
          <w:p w14:paraId="5B820CDE"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1190" w:type="dxa"/>
            <w:vMerge/>
          </w:tcPr>
          <w:p w14:paraId="273483B5"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p>
        </w:tc>
        <w:tc>
          <w:tcPr>
            <w:tcW w:w="3060" w:type="dxa"/>
          </w:tcPr>
          <w:p w14:paraId="24AD6F2D"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socijalnu, obrazovnu i kulturnu infrastrukturu i djelatnosti te infrastrukturu i djelatnosti za očuvanje prirodne baštine (čl. 56.e st. 5.)</w:t>
            </w:r>
          </w:p>
        </w:tc>
        <w:tc>
          <w:tcPr>
            <w:tcW w:w="1440" w:type="dxa"/>
            <w:gridSpan w:val="2"/>
          </w:tcPr>
          <w:p w14:paraId="2C8EE292"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0096D0FC"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67693E1A" w14:textId="77777777" w:rsidTr="006925EA">
        <w:trPr>
          <w:trHeight w:val="210"/>
        </w:trPr>
        <w:tc>
          <w:tcPr>
            <w:tcW w:w="2518" w:type="dxa"/>
            <w:vMerge/>
          </w:tcPr>
          <w:p w14:paraId="79FD4C38"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1190" w:type="dxa"/>
            <w:vMerge/>
          </w:tcPr>
          <w:p w14:paraId="0561ECF5"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p>
        </w:tc>
        <w:tc>
          <w:tcPr>
            <w:tcW w:w="3060" w:type="dxa"/>
          </w:tcPr>
          <w:p w14:paraId="18CC1E64"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promet i prometnu infrastrukturu (čl. 56.e st. 6.)</w:t>
            </w:r>
          </w:p>
        </w:tc>
        <w:tc>
          <w:tcPr>
            <w:tcW w:w="1440" w:type="dxa"/>
            <w:gridSpan w:val="2"/>
          </w:tcPr>
          <w:p w14:paraId="69B69C52"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1D97E642"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4674E364" w14:textId="77777777" w:rsidTr="006925EA">
        <w:trPr>
          <w:trHeight w:val="210"/>
        </w:trPr>
        <w:tc>
          <w:tcPr>
            <w:tcW w:w="2518" w:type="dxa"/>
            <w:vMerge/>
          </w:tcPr>
          <w:p w14:paraId="4B805A44"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1190" w:type="dxa"/>
            <w:vMerge/>
          </w:tcPr>
          <w:p w14:paraId="1613AEFC"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p>
        </w:tc>
        <w:tc>
          <w:tcPr>
            <w:tcW w:w="3060" w:type="dxa"/>
          </w:tcPr>
          <w:p w14:paraId="0C2CA994"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druge infrastrukture (čl. 56.e st. 7.)</w:t>
            </w:r>
          </w:p>
        </w:tc>
        <w:tc>
          <w:tcPr>
            <w:tcW w:w="1440" w:type="dxa"/>
            <w:gridSpan w:val="2"/>
          </w:tcPr>
          <w:p w14:paraId="287256CD"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4578CD9D"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3EEDA2BD" w14:textId="77777777" w:rsidTr="006925EA">
        <w:trPr>
          <w:trHeight w:val="210"/>
        </w:trPr>
        <w:tc>
          <w:tcPr>
            <w:tcW w:w="2518" w:type="dxa"/>
            <w:vMerge/>
          </w:tcPr>
          <w:p w14:paraId="0D4447A0"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1190" w:type="dxa"/>
            <w:vMerge/>
          </w:tcPr>
          <w:p w14:paraId="0F7C85D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p>
        </w:tc>
        <w:tc>
          <w:tcPr>
            <w:tcW w:w="3060" w:type="dxa"/>
          </w:tcPr>
          <w:p w14:paraId="372846BA"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zaštitu okoliša, uključujući zaštitu klime (čl. 56.e st. 8.)</w:t>
            </w:r>
          </w:p>
        </w:tc>
        <w:tc>
          <w:tcPr>
            <w:tcW w:w="1440" w:type="dxa"/>
            <w:gridSpan w:val="2"/>
          </w:tcPr>
          <w:p w14:paraId="1F2E2670"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48855A7F"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91B7A17" w14:textId="77777777" w:rsidTr="006925EA">
        <w:trPr>
          <w:trHeight w:val="210"/>
        </w:trPr>
        <w:tc>
          <w:tcPr>
            <w:tcW w:w="2518" w:type="dxa"/>
            <w:vMerge/>
          </w:tcPr>
          <w:p w14:paraId="3D88F604"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1190" w:type="dxa"/>
            <w:vMerge/>
          </w:tcPr>
          <w:p w14:paraId="4A52CAA0"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p>
        </w:tc>
        <w:tc>
          <w:tcPr>
            <w:tcW w:w="3060" w:type="dxa"/>
          </w:tcPr>
          <w:p w14:paraId="6534276D"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za istraživanje, razvoj, inovacije i digitalizaciju (čl. 56.e st. 9.)</w:t>
            </w:r>
          </w:p>
        </w:tc>
        <w:tc>
          <w:tcPr>
            <w:tcW w:w="1440" w:type="dxa"/>
            <w:gridSpan w:val="2"/>
          </w:tcPr>
          <w:p w14:paraId="1CD96F7E"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5C970804"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2439CC18" w14:textId="77777777" w:rsidTr="006925EA">
        <w:trPr>
          <w:trHeight w:val="210"/>
        </w:trPr>
        <w:tc>
          <w:tcPr>
            <w:tcW w:w="2518" w:type="dxa"/>
            <w:vMerge/>
          </w:tcPr>
          <w:p w14:paraId="1E2788C4"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1190" w:type="dxa"/>
            <w:vMerge/>
          </w:tcPr>
          <w:p w14:paraId="6DB69AD2"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p>
        </w:tc>
        <w:tc>
          <w:tcPr>
            <w:tcW w:w="3060" w:type="dxa"/>
          </w:tcPr>
          <w:p w14:paraId="115E5F68"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u obliku financiranja koje se podupire iz fonda InvestEU dodijeljene MSP-ovima ili malim poduzećima srednje tržišne kapitalizacije (čl. 56.e st. 10.)</w:t>
            </w:r>
          </w:p>
        </w:tc>
        <w:tc>
          <w:tcPr>
            <w:tcW w:w="1440" w:type="dxa"/>
            <w:gridSpan w:val="2"/>
          </w:tcPr>
          <w:p w14:paraId="6C7EC8A8"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56E4D7DB"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r w:rsidR="004F0329" w:rsidRPr="004F0329" w14:paraId="123B6667" w14:textId="77777777" w:rsidTr="006925EA">
        <w:trPr>
          <w:trHeight w:val="210"/>
        </w:trPr>
        <w:tc>
          <w:tcPr>
            <w:tcW w:w="2518" w:type="dxa"/>
            <w:vMerge/>
          </w:tcPr>
          <w:p w14:paraId="58577EE6" w14:textId="77777777" w:rsidR="004F0329" w:rsidRPr="004F0329" w:rsidRDefault="004F0329" w:rsidP="004F0329">
            <w:pPr>
              <w:spacing w:before="120" w:after="0" w:line="240" w:lineRule="auto"/>
              <w:ind w:left="284" w:hanging="284"/>
              <w:jc w:val="both"/>
              <w:rPr>
                <w:rFonts w:ascii="Times New Roman" w:eastAsia="Times New Roman" w:hAnsi="Times New Roman"/>
                <w:bCs/>
                <w:noProof/>
                <w:sz w:val="24"/>
                <w:szCs w:val="24"/>
                <w:lang w:val="en-GB" w:eastAsia="en-US" w:bidi="ar-SA"/>
              </w:rPr>
            </w:pPr>
          </w:p>
        </w:tc>
        <w:tc>
          <w:tcPr>
            <w:tcW w:w="4250" w:type="dxa"/>
            <w:gridSpan w:val="2"/>
          </w:tcPr>
          <w:p w14:paraId="2FAC10A7" w14:textId="77777777" w:rsidR="004F0329" w:rsidRPr="004F0329" w:rsidRDefault="004F0329" w:rsidP="004F0329">
            <w:pPr>
              <w:spacing w:before="120" w:after="0" w:line="240" w:lineRule="auto"/>
              <w:ind w:left="284" w:hanging="284"/>
              <w:jc w:val="both"/>
              <w:rPr>
                <w:rFonts w:ascii="Times New Roman" w:eastAsia="Times New Roman" w:hAnsi="Times New Roman"/>
                <w:noProof/>
                <w:sz w:val="24"/>
                <w:szCs w:val="24"/>
                <w:lang w:val="en-GB" w:eastAsia="en-US" w:bidi="ar-SA"/>
              </w:rPr>
            </w:pPr>
            <w:r w:rsidRPr="004F0329">
              <w:rPr>
                <w:rFonts w:ascii="Times New Roman" w:eastAsia="Times New Roman" w:hAnsi="Times New Roman"/>
                <w:noProof/>
                <w:sz w:val="24"/>
                <w:szCs w:val="24"/>
                <w:lang w:val="en-GB" w:eastAsia="en-US" w:bidi="ar-SA"/>
              </w:rPr>
              <w:fldChar w:fldCharType="begin">
                <w:ffData>
                  <w:name w:val="Check1"/>
                  <w:enabled/>
                  <w:calcOnExit w:val="0"/>
                  <w:checkBox>
                    <w:sizeAuto/>
                    <w:default w:val="0"/>
                  </w:checkBox>
                </w:ffData>
              </w:fldChar>
            </w:r>
            <w:r w:rsidRPr="004F0329">
              <w:rPr>
                <w:rFonts w:ascii="Times New Roman" w:eastAsia="Times New Roman" w:hAnsi="Times New Roman"/>
                <w:noProof/>
                <w:sz w:val="24"/>
                <w:szCs w:val="24"/>
                <w:lang w:val="en-GB" w:eastAsia="en-US" w:bidi="ar-SA"/>
              </w:rPr>
              <w:instrText xml:space="preserve"> FORMCHECKBOX </w:instrText>
            </w:r>
            <w:r w:rsidR="00111F98">
              <w:rPr>
                <w:rFonts w:ascii="Times New Roman" w:eastAsia="Times New Roman" w:hAnsi="Times New Roman"/>
                <w:noProof/>
                <w:sz w:val="24"/>
                <w:szCs w:val="24"/>
                <w:lang w:val="en-GB" w:eastAsia="en-US" w:bidi="ar-SA"/>
              </w:rPr>
            </w:r>
            <w:r w:rsidR="00111F98">
              <w:rPr>
                <w:rFonts w:ascii="Times New Roman" w:eastAsia="Times New Roman" w:hAnsi="Times New Roman"/>
                <w:noProof/>
                <w:sz w:val="24"/>
                <w:szCs w:val="24"/>
                <w:lang w:val="en-GB" w:eastAsia="en-US" w:bidi="ar-SA"/>
              </w:rPr>
              <w:fldChar w:fldCharType="separate"/>
            </w:r>
            <w:r w:rsidRPr="004F0329">
              <w:rPr>
                <w:rFonts w:ascii="Times New Roman" w:eastAsia="Times New Roman" w:hAnsi="Times New Roman"/>
                <w:noProof/>
                <w:sz w:val="24"/>
                <w:szCs w:val="24"/>
                <w:lang w:val="en-GB" w:eastAsia="en-US" w:bidi="ar-SA"/>
              </w:rPr>
              <w:fldChar w:fldCharType="end"/>
            </w:r>
            <w:r w:rsidRPr="004F0329">
              <w:rPr>
                <w:rFonts w:ascii="Times New Roman" w:eastAsia="Times New Roman" w:hAnsi="Times New Roman"/>
                <w:noProof/>
                <w:sz w:val="24"/>
                <w:szCs w:val="24"/>
                <w:lang w:val="en-GB" w:eastAsia="en-US" w:bidi="ar-SA"/>
              </w:rPr>
              <w:t xml:space="preserve"> Potpore uključene u posredničke, komercijalno orijentirane financijske proizvode koji se podupiru sredstvima fonda InvestEU (čl. 56.f)</w:t>
            </w:r>
          </w:p>
        </w:tc>
        <w:tc>
          <w:tcPr>
            <w:tcW w:w="1440" w:type="dxa"/>
            <w:gridSpan w:val="2"/>
          </w:tcPr>
          <w:p w14:paraId="77079B00"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…nacionalna valuta</w:t>
            </w:r>
          </w:p>
        </w:tc>
        <w:tc>
          <w:tcPr>
            <w:tcW w:w="1080" w:type="dxa"/>
          </w:tcPr>
          <w:p w14:paraId="79D24203" w14:textId="77777777" w:rsidR="004F0329" w:rsidRPr="004F0329" w:rsidRDefault="004F0329" w:rsidP="004F0329">
            <w:pPr>
              <w:spacing w:before="120" w:after="0" w:line="240" w:lineRule="auto"/>
              <w:jc w:val="both"/>
              <w:rPr>
                <w:rFonts w:ascii="Times New Roman" w:eastAsia="Times New Roman" w:hAnsi="Times New Roman"/>
                <w:bCs/>
                <w:noProof/>
                <w:sz w:val="24"/>
                <w:szCs w:val="24"/>
                <w:lang w:val="en-GB" w:eastAsia="en-US" w:bidi="ar-SA"/>
              </w:rPr>
            </w:pPr>
            <w:r w:rsidRPr="004F0329">
              <w:rPr>
                <w:rFonts w:ascii="Times New Roman" w:eastAsia="Times New Roman" w:hAnsi="Times New Roman"/>
                <w:noProof/>
                <w:sz w:val="24"/>
                <w:szCs w:val="24"/>
                <w:lang w:val="en-GB" w:eastAsia="en-US" w:bidi="ar-SA"/>
              </w:rPr>
              <w:t>…%</w:t>
            </w:r>
          </w:p>
        </w:tc>
      </w:tr>
    </w:tbl>
    <w:p w14:paraId="138DBAE5" w14:textId="77777777" w:rsidR="002F4E11" w:rsidRPr="006802F3" w:rsidRDefault="002F4E11" w:rsidP="00742DF1">
      <w:pPr>
        <w:spacing w:after="480"/>
        <w:jc w:val="center"/>
      </w:pPr>
    </w:p>
    <w:sectPr w:rsidR="002F4E11" w:rsidRPr="006802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22A49" w14:textId="77777777" w:rsidR="00111F98" w:rsidRDefault="00111F98" w:rsidP="009907E1">
      <w:pPr>
        <w:spacing w:after="0" w:line="240" w:lineRule="auto"/>
      </w:pPr>
      <w:r>
        <w:separator/>
      </w:r>
    </w:p>
  </w:endnote>
  <w:endnote w:type="continuationSeparator" w:id="0">
    <w:p w14:paraId="38B17262" w14:textId="77777777" w:rsidR="00111F98" w:rsidRDefault="00111F98"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426A" w14:textId="530EA5BF" w:rsidR="009473C4" w:rsidRDefault="009473C4">
    <w:pPr>
      <w:pStyle w:val="Podnoje"/>
      <w:jc w:val="center"/>
    </w:pPr>
    <w:r>
      <w:fldChar w:fldCharType="begin"/>
    </w:r>
    <w:r>
      <w:instrText xml:space="preserve"> PAGE   \* MERGEFORMAT </w:instrText>
    </w:r>
    <w:r>
      <w:fldChar w:fldCharType="separate"/>
    </w:r>
    <w:r w:rsidR="008F28B4">
      <w:rPr>
        <w:noProof/>
      </w:rPr>
      <w:t>10</w:t>
    </w:r>
    <w:r>
      <w:rPr>
        <w:noProof/>
      </w:rPr>
      <w:fldChar w:fldCharType="end"/>
    </w:r>
  </w:p>
  <w:p w14:paraId="2A81A0D8" w14:textId="77777777" w:rsidR="009473C4" w:rsidRDefault="009473C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31B4" w14:textId="77777777" w:rsidR="00111F98" w:rsidRDefault="00111F98" w:rsidP="009907E1">
      <w:pPr>
        <w:spacing w:after="0" w:line="240" w:lineRule="auto"/>
      </w:pPr>
      <w:r>
        <w:separator/>
      </w:r>
    </w:p>
  </w:footnote>
  <w:footnote w:type="continuationSeparator" w:id="0">
    <w:p w14:paraId="7D054FD4" w14:textId="77777777" w:rsidR="00111F98" w:rsidRDefault="00111F98" w:rsidP="009907E1">
      <w:pPr>
        <w:spacing w:after="0" w:line="240" w:lineRule="auto"/>
      </w:pPr>
      <w:r>
        <w:continuationSeparator/>
      </w:r>
    </w:p>
  </w:footnote>
  <w:footnote w:id="1">
    <w:p w14:paraId="45F86925" w14:textId="77777777" w:rsidR="009473C4" w:rsidRDefault="009473C4" w:rsidP="006802F3">
      <w:pPr>
        <w:pStyle w:val="Tekstfusnote"/>
      </w:pPr>
      <w:r>
        <w:rPr>
          <w:rStyle w:val="Referencafusnote"/>
        </w:rPr>
        <w:footnoteRef/>
      </w:r>
      <w:r>
        <w:tab/>
        <w:t xml:space="preserve">NUTS – Nomenklatura teritorijalnih jedinica za statistiku. Regija se uobičajeno utvrđuje na drugoj razini. </w:t>
      </w:r>
    </w:p>
  </w:footnote>
  <w:footnote w:id="2">
    <w:p w14:paraId="65E68974" w14:textId="77777777" w:rsidR="009473C4" w:rsidRDefault="009473C4" w:rsidP="006802F3">
      <w:pPr>
        <w:pStyle w:val="Tekstfusnote"/>
      </w:pPr>
      <w:r>
        <w:rPr>
          <w:rStyle w:val="Referencafusnote"/>
        </w:rPr>
        <w:footnoteRef/>
      </w:r>
      <w:r>
        <w:tab/>
      </w:r>
      <w:r>
        <w:t xml:space="preserve">Članak 107. stavak 3. točka (a) UFEU-a (status „A”), članak 107. stavak 3. točka (c) UFEU-a (status „C”), nepotpomognuta područja, tj. područja neprihvatljiva za regionalne potpore (status „N”). </w:t>
      </w:r>
    </w:p>
  </w:footnote>
  <w:footnote w:id="3">
    <w:p w14:paraId="58341F40" w14:textId="77777777" w:rsidR="009473C4" w:rsidRDefault="009473C4" w:rsidP="006802F3">
      <w:pPr>
        <w:pStyle w:val="Tekstfusnote"/>
      </w:pPr>
      <w:r>
        <w:rPr>
          <w:rStyle w:val="Referencafusnote"/>
        </w:rPr>
        <w:footnoteRef/>
      </w:r>
      <w:r>
        <w:tab/>
      </w:r>
      <w:r>
        <w:t xml:space="preserve">Za potrebe pravila o tržišnom natjecanju utvrđenih u Ugovoru i za potrebe ove Uredbe poduzetnikom se smatra svaki subjekt koji se bavi ekonomskom djelatnošću, bez obzira na njegov pravni status i na način njegova financiranja. Sud je odlučio da se subjekti koji su pod kontrolom (zakonski ili </w:t>
      </w:r>
      <w:r>
        <w:rPr>
          <w:i/>
        </w:rPr>
        <w:t>de facto</w:t>
      </w:r>
      <w:r>
        <w:t>) istog subjekta trebaju smatrati jednim poduzetnikom.</w:t>
      </w:r>
    </w:p>
  </w:footnote>
  <w:footnote w:id="4">
    <w:p w14:paraId="629FBA9B" w14:textId="77777777" w:rsidR="009473C4" w:rsidRDefault="009473C4" w:rsidP="006802F3">
      <w:pPr>
        <w:pStyle w:val="Tekstfusnote"/>
      </w:pPr>
      <w:r>
        <w:rPr>
          <w:rStyle w:val="Referencafusnote"/>
        </w:rPr>
        <w:footnoteRef/>
      </w:r>
      <w:r>
        <w:tab/>
      </w:r>
      <w:r>
        <w:t xml:space="preserve">Razdoblje tijekom kojeg se davatelj potpore može obvezati dati potporu. </w:t>
      </w:r>
    </w:p>
  </w:footnote>
  <w:footnote w:id="5">
    <w:p w14:paraId="24C6BCC7" w14:textId="77777777" w:rsidR="009473C4" w:rsidRDefault="009473C4" w:rsidP="006802F3">
      <w:pPr>
        <w:pStyle w:val="Tekstfusnote"/>
      </w:pPr>
      <w:r>
        <w:rPr>
          <w:rStyle w:val="Referencafusnote"/>
        </w:rPr>
        <w:footnoteRef/>
      </w:r>
      <w:r>
        <w:tab/>
      </w:r>
      <w:r>
        <w:t xml:space="preserve">Određen u skladu s člankom 2. točkom (27) Uredbe. </w:t>
      </w:r>
    </w:p>
  </w:footnote>
  <w:footnote w:id="6">
    <w:p w14:paraId="7744EA6B" w14:textId="77777777" w:rsidR="009473C4" w:rsidRDefault="009473C4" w:rsidP="006802F3">
      <w:pPr>
        <w:pStyle w:val="Tekstfusnote"/>
      </w:pPr>
      <w:r>
        <w:rPr>
          <w:rStyle w:val="Referencafusnote"/>
        </w:rPr>
        <w:footnoteRef/>
      </w:r>
      <w:r>
        <w:tab/>
      </w:r>
      <w:r>
        <w:t>NACE </w:t>
      </w:r>
      <w:proofErr w:type="spellStart"/>
      <w:r>
        <w:t>Rev</w:t>
      </w:r>
      <w:proofErr w:type="spellEnd"/>
      <w:r>
        <w:t>. 2 – Statistička klasifikacija ekonomskih djelatnosti u Europskoj zajednici. Sektor se uobičajeno utvrđuje na razini skupine.</w:t>
      </w:r>
    </w:p>
  </w:footnote>
  <w:footnote w:id="7">
    <w:p w14:paraId="29E1F9B1" w14:textId="77777777" w:rsidR="009473C4" w:rsidRDefault="009473C4" w:rsidP="006802F3">
      <w:pPr>
        <w:pStyle w:val="Tekstfusnote"/>
      </w:pPr>
      <w:r>
        <w:rPr>
          <w:rStyle w:val="Referencafusnote"/>
        </w:rPr>
        <w:footnoteRef/>
      </w:r>
      <w:r>
        <w:tab/>
      </w:r>
      <w:r>
        <w:t>U slučaju programa potpore: navesti godišnji ukupni iznos proračuna planiran na temelju programa ili procijenjeni porezni gubitak po godini za sve instrumente potpore sadržane u programu.</w:t>
      </w:r>
    </w:p>
  </w:footnote>
  <w:footnote w:id="8">
    <w:p w14:paraId="5D34C7A7" w14:textId="77777777" w:rsidR="009473C4" w:rsidRDefault="009473C4" w:rsidP="006802F3">
      <w:pPr>
        <w:pStyle w:val="Tekstfusnote"/>
      </w:pPr>
      <w:r>
        <w:rPr>
          <w:rStyle w:val="Referencafusnote"/>
        </w:rPr>
        <w:footnoteRef/>
      </w:r>
      <w:r>
        <w:tab/>
      </w:r>
      <w:r>
        <w:t>U slučaju dodjele jednokratne potpore: navesti ukupni iznos potpore / poreznoga gubitka.</w:t>
      </w:r>
    </w:p>
  </w:footnote>
  <w:footnote w:id="9">
    <w:p w14:paraId="4CDC2F07" w14:textId="77777777" w:rsidR="009473C4" w:rsidRDefault="009473C4" w:rsidP="006802F3">
      <w:pPr>
        <w:pStyle w:val="Tekstfusnote"/>
      </w:pPr>
      <w:r>
        <w:rPr>
          <w:rStyle w:val="Referencafusnote"/>
        </w:rPr>
        <w:footnoteRef/>
      </w:r>
      <w:r>
        <w:tab/>
      </w:r>
      <w:r>
        <w:t xml:space="preserve">Za jamstva navesti (maksimalni) iznos potpore u zajmovima obuhvaćenima jamstvom. </w:t>
      </w:r>
    </w:p>
  </w:footnote>
  <w:footnote w:id="10">
    <w:p w14:paraId="360505D2" w14:textId="77777777" w:rsidR="009473C4" w:rsidRDefault="009473C4" w:rsidP="006802F3">
      <w:pPr>
        <w:pStyle w:val="Tekstfusnote"/>
      </w:pPr>
      <w:r>
        <w:rPr>
          <w:rStyle w:val="Referencafusnote"/>
        </w:rPr>
        <w:footnoteRef/>
      </w:r>
      <w:r>
        <w:tab/>
      </w:r>
      <w:r>
        <w:t xml:space="preserve">Prema potrebi upućivanje na odluku Komisije o odobravanju metodologije izračuna bruto ekvivalenta bespovratnog sredstva, u skladu s člankom 5. stavkom 2. točkom (c) Uredbe. </w:t>
      </w:r>
    </w:p>
  </w:footnote>
  <w:footnote w:id="11">
    <w:p w14:paraId="0BD433E5" w14:textId="77777777" w:rsidR="004F0329" w:rsidRDefault="004F0329" w:rsidP="004F0329">
      <w:pPr>
        <w:pStyle w:val="Tekstfusnote"/>
      </w:pPr>
      <w:r>
        <w:rPr>
          <w:rStyle w:val="Referencafusnote"/>
        </w:rPr>
        <w:footnoteRef/>
      </w:r>
      <w:r>
        <w:tab/>
      </w:r>
      <w:r>
        <w:t>U slučaju jednokratnih regionalnih potpora koje nadopunjuju potpore dodijeljene prema programu odnosno programima potpora, molimo navesti i intenzitet potpore dodijeljen prema programu i intenzitet jednokratne potpore.</w:t>
      </w:r>
    </w:p>
  </w:footnote>
  <w:footnote w:id="12">
    <w:p w14:paraId="66D78DB0" w14:textId="77777777" w:rsidR="004F0329" w:rsidRDefault="004F0329" w:rsidP="004F0329">
      <w:pPr>
        <w:pStyle w:val="Tekstfusnote"/>
      </w:pPr>
      <w:r>
        <w:rPr>
          <w:rStyle w:val="Referencafusnote"/>
        </w:rPr>
        <w:footnoteRef/>
      </w:r>
      <w:r>
        <w:tab/>
      </w:r>
      <w:r>
        <w:t>U skladu s člankom 11. stavkom 1. izvješćivanje o potporama dodijeljenima u skladu s člankom 19.b nije obvezno. Stoga je izvješćivanje o takvim potporama samo fakultativno.</w:t>
      </w:r>
    </w:p>
  </w:footnote>
  <w:footnote w:id="13">
    <w:p w14:paraId="76638D4C" w14:textId="77777777" w:rsidR="004F0329" w:rsidRDefault="004F0329" w:rsidP="004F0329">
      <w:pPr>
        <w:pStyle w:val="Tekstfusnote"/>
      </w:pPr>
      <w:r>
        <w:rPr>
          <w:rStyle w:val="Referencafusnote"/>
        </w:rPr>
        <w:footnoteRef/>
      </w:r>
      <w:r>
        <w:tab/>
      </w:r>
      <w:r>
        <w:t>U skladu s člankom 11. stavkom 1. izvješćivanje o potporama dodijeljenima u skladu s člankom 20.a nije obvezno. Stoga je izvješćivanje o takvim potporama samo fakultativno.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82D2DE"/>
    <w:lvl w:ilvl="0">
      <w:start w:val="1"/>
      <w:numFmt w:val="bullet"/>
      <w:pStyle w:val="Grafikeoznake2"/>
      <w:lvlText w:val=""/>
      <w:lvlJc w:val="left"/>
      <w:pPr>
        <w:tabs>
          <w:tab w:val="num" w:pos="643"/>
        </w:tabs>
        <w:ind w:left="643" w:hanging="360"/>
      </w:pPr>
      <w:rPr>
        <w:rFonts w:ascii="Symbol" w:hAnsi="Symbol" w:hint="default"/>
      </w:rPr>
    </w:lvl>
  </w:abstractNum>
  <w:abstractNum w:abstractNumId="1" w15:restartNumberingAfterBreak="0">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15:restartNumberingAfterBreak="0">
    <w:nsid w:val="42F62067"/>
    <w:multiLevelType w:val="hybridMultilevel"/>
    <w:tmpl w:val="6E8A2692"/>
    <w:lvl w:ilvl="0" w:tplc="6A58108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fr-B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gNum" w:val="1"/>
    <w:docVar w:name="LW_DocType" w:val="NORMAL"/>
  </w:docVars>
  <w:rsids>
    <w:rsidRoot w:val="009907E1"/>
    <w:rsid w:val="000079B6"/>
    <w:rsid w:val="000133CC"/>
    <w:rsid w:val="00021859"/>
    <w:rsid w:val="000630D5"/>
    <w:rsid w:val="000674F4"/>
    <w:rsid w:val="000A177B"/>
    <w:rsid w:val="00104724"/>
    <w:rsid w:val="001056FB"/>
    <w:rsid w:val="00111F98"/>
    <w:rsid w:val="00131A0B"/>
    <w:rsid w:val="00173BED"/>
    <w:rsid w:val="00174C67"/>
    <w:rsid w:val="00175A50"/>
    <w:rsid w:val="0019096D"/>
    <w:rsid w:val="00194195"/>
    <w:rsid w:val="001A1312"/>
    <w:rsid w:val="001B4951"/>
    <w:rsid w:val="001D6285"/>
    <w:rsid w:val="001F3512"/>
    <w:rsid w:val="00252078"/>
    <w:rsid w:val="00295DA9"/>
    <w:rsid w:val="002D2CDD"/>
    <w:rsid w:val="002F4E11"/>
    <w:rsid w:val="00317E7D"/>
    <w:rsid w:val="00336D85"/>
    <w:rsid w:val="00346533"/>
    <w:rsid w:val="00373028"/>
    <w:rsid w:val="003938F3"/>
    <w:rsid w:val="003B52E8"/>
    <w:rsid w:val="003E2A9E"/>
    <w:rsid w:val="003F5D25"/>
    <w:rsid w:val="003F5D67"/>
    <w:rsid w:val="004556D7"/>
    <w:rsid w:val="004816AA"/>
    <w:rsid w:val="00490590"/>
    <w:rsid w:val="004A02AD"/>
    <w:rsid w:val="004B0708"/>
    <w:rsid w:val="004C69BB"/>
    <w:rsid w:val="004D07B4"/>
    <w:rsid w:val="004F0329"/>
    <w:rsid w:val="00530EE1"/>
    <w:rsid w:val="005627C9"/>
    <w:rsid w:val="00563CF6"/>
    <w:rsid w:val="00586175"/>
    <w:rsid w:val="005B212D"/>
    <w:rsid w:val="005B2F43"/>
    <w:rsid w:val="005C754F"/>
    <w:rsid w:val="005E70A0"/>
    <w:rsid w:val="00603BFE"/>
    <w:rsid w:val="006101FC"/>
    <w:rsid w:val="00623B9A"/>
    <w:rsid w:val="00626DEE"/>
    <w:rsid w:val="00643D7C"/>
    <w:rsid w:val="00644E58"/>
    <w:rsid w:val="00651919"/>
    <w:rsid w:val="006802F3"/>
    <w:rsid w:val="007253AC"/>
    <w:rsid w:val="0072680D"/>
    <w:rsid w:val="00730B3F"/>
    <w:rsid w:val="00731772"/>
    <w:rsid w:val="00742DF1"/>
    <w:rsid w:val="00746590"/>
    <w:rsid w:val="007755D3"/>
    <w:rsid w:val="00793F50"/>
    <w:rsid w:val="0079490F"/>
    <w:rsid w:val="007B3761"/>
    <w:rsid w:val="007F7489"/>
    <w:rsid w:val="00800031"/>
    <w:rsid w:val="00805035"/>
    <w:rsid w:val="00812E2A"/>
    <w:rsid w:val="00812ED7"/>
    <w:rsid w:val="00875BDC"/>
    <w:rsid w:val="00875F73"/>
    <w:rsid w:val="008B7F47"/>
    <w:rsid w:val="008D5A72"/>
    <w:rsid w:val="008E40CD"/>
    <w:rsid w:val="008F28B4"/>
    <w:rsid w:val="00910434"/>
    <w:rsid w:val="00914F22"/>
    <w:rsid w:val="0092371A"/>
    <w:rsid w:val="00923F0A"/>
    <w:rsid w:val="009272A8"/>
    <w:rsid w:val="0094080A"/>
    <w:rsid w:val="009473C4"/>
    <w:rsid w:val="0095358A"/>
    <w:rsid w:val="00960709"/>
    <w:rsid w:val="00975232"/>
    <w:rsid w:val="00982BC3"/>
    <w:rsid w:val="009907E1"/>
    <w:rsid w:val="00992579"/>
    <w:rsid w:val="00996BFF"/>
    <w:rsid w:val="009D4C85"/>
    <w:rsid w:val="009D507B"/>
    <w:rsid w:val="009D5F2A"/>
    <w:rsid w:val="009E3B01"/>
    <w:rsid w:val="009F0AAC"/>
    <w:rsid w:val="00A33BC6"/>
    <w:rsid w:val="00A65203"/>
    <w:rsid w:val="00A80E51"/>
    <w:rsid w:val="00A951F4"/>
    <w:rsid w:val="00AB0EC7"/>
    <w:rsid w:val="00AB6AC9"/>
    <w:rsid w:val="00AE482F"/>
    <w:rsid w:val="00AE4D62"/>
    <w:rsid w:val="00AE6C43"/>
    <w:rsid w:val="00AF158B"/>
    <w:rsid w:val="00AF31C2"/>
    <w:rsid w:val="00B059CD"/>
    <w:rsid w:val="00B16E48"/>
    <w:rsid w:val="00B7371D"/>
    <w:rsid w:val="00B85DC3"/>
    <w:rsid w:val="00B94383"/>
    <w:rsid w:val="00BC1CDF"/>
    <w:rsid w:val="00BD4211"/>
    <w:rsid w:val="00C24D56"/>
    <w:rsid w:val="00C31BC5"/>
    <w:rsid w:val="00C32A84"/>
    <w:rsid w:val="00C353F2"/>
    <w:rsid w:val="00C400FC"/>
    <w:rsid w:val="00C6449A"/>
    <w:rsid w:val="00C93DA2"/>
    <w:rsid w:val="00CC3F22"/>
    <w:rsid w:val="00CD27FE"/>
    <w:rsid w:val="00CD4A69"/>
    <w:rsid w:val="00CE50D5"/>
    <w:rsid w:val="00D27045"/>
    <w:rsid w:val="00D46247"/>
    <w:rsid w:val="00D57040"/>
    <w:rsid w:val="00D7688E"/>
    <w:rsid w:val="00DD6434"/>
    <w:rsid w:val="00DE3E7E"/>
    <w:rsid w:val="00E00BB1"/>
    <w:rsid w:val="00E07C95"/>
    <w:rsid w:val="00E130B9"/>
    <w:rsid w:val="00E22B52"/>
    <w:rsid w:val="00E25D4C"/>
    <w:rsid w:val="00E92297"/>
    <w:rsid w:val="00E9572A"/>
    <w:rsid w:val="00F16E0C"/>
    <w:rsid w:val="00F2180D"/>
    <w:rsid w:val="00F3765C"/>
    <w:rsid w:val="00F51BB9"/>
    <w:rsid w:val="00F62FE2"/>
    <w:rsid w:val="00F700F0"/>
    <w:rsid w:val="00F76829"/>
    <w:rsid w:val="00F86630"/>
    <w:rsid w:val="00F8774B"/>
    <w:rsid w:val="00F9475D"/>
    <w:rsid w:val="00F94B83"/>
    <w:rsid w:val="00FA4757"/>
    <w:rsid w:val="00FB587F"/>
    <w:rsid w:val="00FF34C5"/>
    <w:rsid w:val="00FF7F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E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hr-HR"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TekstfusnoteChar">
    <w:name w:val="Tekst fusnote Char"/>
    <w:link w:val="Tekstfusnote"/>
    <w:uiPriority w:val="99"/>
    <w:semiHidden/>
    <w:rsid w:val="009907E1"/>
    <w:rPr>
      <w:rFonts w:ascii="Times New Roman" w:eastAsia="Times New Roman" w:hAnsi="Times New Roman"/>
      <w:lang w:eastAsia="hr-HR"/>
    </w:rPr>
  </w:style>
  <w:style w:type="character" w:styleId="Referencafusnot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Zaglavlje">
    <w:name w:val="header"/>
    <w:basedOn w:val="Normal"/>
    <w:link w:val="ZaglavljeChar"/>
    <w:uiPriority w:val="99"/>
    <w:unhideWhenUsed/>
    <w:rsid w:val="009907E1"/>
    <w:pPr>
      <w:tabs>
        <w:tab w:val="center" w:pos="4536"/>
        <w:tab w:val="right" w:pos="9072"/>
      </w:tabs>
    </w:pPr>
  </w:style>
  <w:style w:type="character" w:customStyle="1" w:styleId="ZaglavljeChar">
    <w:name w:val="Zaglavlje Char"/>
    <w:link w:val="Zaglavlje"/>
    <w:uiPriority w:val="99"/>
    <w:rsid w:val="009907E1"/>
    <w:rPr>
      <w:sz w:val="22"/>
      <w:szCs w:val="22"/>
      <w:lang w:eastAsia="hr-HR"/>
    </w:rPr>
  </w:style>
  <w:style w:type="paragraph" w:styleId="Podnoje">
    <w:name w:val="footer"/>
    <w:basedOn w:val="Normal"/>
    <w:link w:val="PodnojeChar"/>
    <w:uiPriority w:val="99"/>
    <w:unhideWhenUsed/>
    <w:rsid w:val="009907E1"/>
    <w:pPr>
      <w:tabs>
        <w:tab w:val="center" w:pos="4536"/>
        <w:tab w:val="right" w:pos="9072"/>
      </w:tabs>
    </w:pPr>
  </w:style>
  <w:style w:type="character" w:customStyle="1" w:styleId="PodnojeChar">
    <w:name w:val="Podnožje Char"/>
    <w:link w:val="Podnoje"/>
    <w:uiPriority w:val="99"/>
    <w:rsid w:val="009907E1"/>
    <w:rPr>
      <w:sz w:val="22"/>
      <w:szCs w:val="22"/>
      <w:lang w:eastAsia="hr-HR"/>
    </w:rPr>
  </w:style>
  <w:style w:type="paragraph" w:styleId="Grafikeoznake2">
    <w:name w:val="List Bullet 2"/>
    <w:basedOn w:val="Normal"/>
    <w:uiPriority w:val="99"/>
    <w:rsid w:val="001D6285"/>
    <w:pPr>
      <w:numPr>
        <w:numId w:val="15"/>
      </w:numPr>
      <w:spacing w:before="120" w:after="120" w:line="240" w:lineRule="auto"/>
      <w:contextualSpacing/>
      <w:jc w:val="both"/>
    </w:pPr>
    <w:rPr>
      <w:rFonts w:ascii="Times New Roman" w:eastAsia="Times New Roman" w:hAnsi="Times New Roman"/>
      <w:sz w:val="24"/>
      <w:szCs w:val="24"/>
    </w:rPr>
  </w:style>
  <w:style w:type="paragraph" w:customStyle="1" w:styleId="NormalRight">
    <w:name w:val="Normal Right"/>
    <w:basedOn w:val="Normal"/>
    <w:rsid w:val="006802F3"/>
    <w:pPr>
      <w:spacing w:before="120" w:after="120" w:line="240" w:lineRule="auto"/>
      <w:jc w:val="right"/>
    </w:pPr>
    <w:rPr>
      <w:rFonts w:ascii="Times New Roman" w:eastAsia="Times New Roman" w:hAnsi="Times New Roman"/>
      <w:sz w:val="24"/>
      <w:szCs w:val="24"/>
    </w:rPr>
  </w:style>
  <w:style w:type="paragraph" w:styleId="Tekstbalonia">
    <w:name w:val="Balloon Text"/>
    <w:basedOn w:val="Normal"/>
    <w:link w:val="TekstbaloniaChar"/>
    <w:uiPriority w:val="99"/>
    <w:semiHidden/>
    <w:unhideWhenUsed/>
    <w:rsid w:val="00E00BB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E00BB1"/>
    <w:rPr>
      <w:rFonts w:ascii="Tahoma" w:hAnsi="Tahoma" w:cs="Tahoma"/>
      <w:sz w:val="16"/>
      <w:szCs w:val="16"/>
      <w:lang w:eastAsia="hr-HR"/>
    </w:rPr>
  </w:style>
  <w:style w:type="paragraph" w:customStyle="1" w:styleId="Titrearticle">
    <w:name w:val="Titre article"/>
    <w:basedOn w:val="Normal"/>
    <w:next w:val="Normal"/>
    <w:rsid w:val="00AF31C2"/>
    <w:pPr>
      <w:keepNext/>
      <w:spacing w:before="360" w:after="120" w:line="240" w:lineRule="auto"/>
      <w:jc w:val="center"/>
    </w:pPr>
    <w:rPr>
      <w:rFonts w:ascii="Times New Roman" w:eastAsia="Times New Roman" w:hAnsi="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2159</Words>
  <Characters>12309</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2023-07-26T07:29:00Z</dcterms:created>
  <dcterms:modified xsi:type="dcterms:W3CDTF">2023-07-26T07:39:00Z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2023-07-07T10:44:00Z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e62736fd-d00b-46e0-b052-c463c57d00f1</vt:lpwstr>
  </property>
  <property fmtid="{D5CDD505-2E9C-101B-9397-08002B2CF9AE}" pid="8" name="MSIP_Label_6bd9ddd1-4d20-43f6-abfa-fc3c07406f94_ContentBits">
    <vt:lpwstr>0</vt:lpwstr>
  </property>
</Properties>
</file>